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41" w:rsidRPr="00C2757C" w:rsidRDefault="00A42BE4" w:rsidP="00CC7A37">
      <w:pPr>
        <w:rPr>
          <w:rFonts w:ascii="Times New Roman" w:hAnsi="Times New Roman"/>
          <w:sz w:val="24"/>
          <w:szCs w:val="24"/>
        </w:rPr>
      </w:pPr>
      <w:r w:rsidRPr="00C2757C"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65652817" wp14:editId="74BFEEB8">
            <wp:simplePos x="0" y="0"/>
            <wp:positionH relativeFrom="column">
              <wp:posOffset>-820420</wp:posOffset>
            </wp:positionH>
            <wp:positionV relativeFrom="page">
              <wp:posOffset>8890</wp:posOffset>
            </wp:positionV>
            <wp:extent cx="7560310" cy="1489710"/>
            <wp:effectExtent l="0" t="0" r="2540" b="0"/>
            <wp:wrapNone/>
            <wp:docPr id="39" name="Kép 39" descr="fej_hun_miniszte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ej_hun_miniszteri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99A" w:rsidRPr="00C2757C" w:rsidRDefault="008A299A" w:rsidP="00CC7A37">
      <w:pPr>
        <w:rPr>
          <w:rFonts w:ascii="Times New Roman" w:hAnsi="Times New Roman"/>
          <w:sz w:val="24"/>
          <w:szCs w:val="24"/>
        </w:rPr>
      </w:pPr>
    </w:p>
    <w:p w:rsidR="00A42BE4" w:rsidRPr="00C2757C" w:rsidRDefault="00A42BE4" w:rsidP="004E14DD">
      <w:pPr>
        <w:rPr>
          <w:rFonts w:ascii="Times New Roman" w:hAnsi="Times New Roman"/>
          <w:sz w:val="24"/>
          <w:szCs w:val="24"/>
        </w:rPr>
      </w:pPr>
    </w:p>
    <w:p w:rsidR="00087A4E" w:rsidRPr="00C2757C" w:rsidRDefault="00087A4E" w:rsidP="00087A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57C">
        <w:rPr>
          <w:rFonts w:ascii="Times New Roman" w:hAnsi="Times New Roman"/>
          <w:sz w:val="24"/>
          <w:szCs w:val="24"/>
        </w:rPr>
        <w:t>Kecsmár Krisztián</w:t>
      </w:r>
    </w:p>
    <w:p w:rsidR="00A42BE4" w:rsidRDefault="00087A4E" w:rsidP="00A42B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2757C">
        <w:rPr>
          <w:rFonts w:ascii="Times New Roman" w:hAnsi="Times New Roman"/>
          <w:sz w:val="24"/>
          <w:szCs w:val="24"/>
        </w:rPr>
        <w:t>európai</w:t>
      </w:r>
      <w:proofErr w:type="gramEnd"/>
      <w:r w:rsidRPr="00C2757C">
        <w:rPr>
          <w:rFonts w:ascii="Times New Roman" w:hAnsi="Times New Roman"/>
          <w:sz w:val="24"/>
          <w:szCs w:val="24"/>
        </w:rPr>
        <w:t xml:space="preserve"> és nemzetközi igazságügyi együttműködésért felelős á</w:t>
      </w:r>
      <w:r w:rsidR="00A42BE4" w:rsidRPr="00C2757C">
        <w:rPr>
          <w:rFonts w:ascii="Times New Roman" w:hAnsi="Times New Roman"/>
          <w:sz w:val="24"/>
          <w:szCs w:val="24"/>
        </w:rPr>
        <w:t>llamtitkár</w:t>
      </w:r>
    </w:p>
    <w:p w:rsidR="00500D2C" w:rsidRPr="00C2757C" w:rsidRDefault="00500D2C" w:rsidP="00A42B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5135" w:rsidRPr="00500D2C" w:rsidRDefault="00500D2C" w:rsidP="00F75F89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00D2C">
        <w:rPr>
          <w:rFonts w:ascii="Times New Roman" w:hAnsi="Times New Roman"/>
          <w:sz w:val="20"/>
          <w:szCs w:val="20"/>
        </w:rPr>
        <w:t>Iktatószám: XX-EUJMFO/145/1/2017.</w:t>
      </w:r>
    </w:p>
    <w:p w:rsidR="00F75F89" w:rsidRPr="00C2757C" w:rsidRDefault="00F75F89" w:rsidP="00F75F89">
      <w:pPr>
        <w:spacing w:after="0"/>
        <w:rPr>
          <w:rFonts w:ascii="Times New Roman" w:hAnsi="Times New Roman"/>
          <w:sz w:val="24"/>
          <w:szCs w:val="24"/>
        </w:rPr>
      </w:pPr>
    </w:p>
    <w:p w:rsidR="00F75F89" w:rsidRPr="00C2757C" w:rsidRDefault="00F75F89" w:rsidP="00F75F8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2757C">
        <w:rPr>
          <w:rFonts w:ascii="Times New Roman" w:hAnsi="Times New Roman"/>
          <w:b/>
          <w:sz w:val="24"/>
          <w:szCs w:val="24"/>
          <w:u w:val="single"/>
        </w:rPr>
        <w:t>FELJEGYZÉS</w:t>
      </w:r>
    </w:p>
    <w:p w:rsidR="00F75F89" w:rsidRPr="00C2757C" w:rsidRDefault="00F75F89" w:rsidP="00F75F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75F89" w:rsidRDefault="00F75F89" w:rsidP="00F75F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757C" w:rsidRPr="00C2757C" w:rsidRDefault="00C2757C" w:rsidP="00F75F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F502B" w:rsidRPr="00C2757C" w:rsidRDefault="00F75F89" w:rsidP="00F75F8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2757C">
        <w:rPr>
          <w:rFonts w:ascii="Times New Roman" w:hAnsi="Times New Roman"/>
          <w:b/>
          <w:sz w:val="24"/>
          <w:szCs w:val="24"/>
        </w:rPr>
        <w:t xml:space="preserve">Tárgy: </w:t>
      </w:r>
      <w:r w:rsidR="00C2757C" w:rsidRPr="00C2757C">
        <w:rPr>
          <w:rFonts w:ascii="Times New Roman" w:hAnsi="Times New Roman"/>
          <w:b/>
          <w:sz w:val="24"/>
          <w:szCs w:val="24"/>
        </w:rPr>
        <w:t xml:space="preserve">Az </w:t>
      </w:r>
      <w:proofErr w:type="spellStart"/>
      <w:r w:rsidR="00C2757C" w:rsidRPr="00C2757C">
        <w:rPr>
          <w:rFonts w:ascii="Times New Roman" w:hAnsi="Times New Roman"/>
          <w:b/>
          <w:sz w:val="24"/>
          <w:szCs w:val="24"/>
        </w:rPr>
        <w:t>Uber</w:t>
      </w:r>
      <w:proofErr w:type="spellEnd"/>
      <w:r w:rsidR="00C2757C" w:rsidRPr="00C2757C">
        <w:rPr>
          <w:rFonts w:ascii="Times New Roman" w:hAnsi="Times New Roman"/>
          <w:b/>
          <w:sz w:val="24"/>
          <w:szCs w:val="24"/>
        </w:rPr>
        <w:t xml:space="preserve"> sz</w:t>
      </w:r>
      <w:r w:rsidR="00C2757C">
        <w:rPr>
          <w:rFonts w:ascii="Times New Roman" w:hAnsi="Times New Roman"/>
          <w:b/>
          <w:sz w:val="24"/>
          <w:szCs w:val="24"/>
        </w:rPr>
        <w:t>olgáltatásának jogi jellege a C-</w:t>
      </w:r>
      <w:r w:rsidR="00C2757C" w:rsidRPr="00C2757C">
        <w:rPr>
          <w:rFonts w:ascii="Times New Roman" w:hAnsi="Times New Roman"/>
          <w:b/>
          <w:sz w:val="24"/>
          <w:szCs w:val="24"/>
        </w:rPr>
        <w:t xml:space="preserve">434/15. számú, </w:t>
      </w:r>
      <w:proofErr w:type="spellStart"/>
      <w:r w:rsidR="00C2757C" w:rsidRPr="00C2757C">
        <w:rPr>
          <w:rFonts w:ascii="Times New Roman" w:hAnsi="Times New Roman"/>
          <w:b/>
          <w:sz w:val="24"/>
          <w:szCs w:val="24"/>
        </w:rPr>
        <w:t>Asociación</w:t>
      </w:r>
      <w:proofErr w:type="spellEnd"/>
      <w:r w:rsidR="00C2757C" w:rsidRPr="00C275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757C" w:rsidRPr="00C2757C">
        <w:rPr>
          <w:rFonts w:ascii="Times New Roman" w:hAnsi="Times New Roman"/>
          <w:b/>
          <w:sz w:val="24"/>
          <w:szCs w:val="24"/>
        </w:rPr>
        <w:t>Profesional</w:t>
      </w:r>
      <w:proofErr w:type="spellEnd"/>
      <w:r w:rsidR="00C2757C" w:rsidRPr="00C275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757C" w:rsidRPr="00C2757C">
        <w:rPr>
          <w:rFonts w:ascii="Times New Roman" w:hAnsi="Times New Roman"/>
          <w:b/>
          <w:sz w:val="24"/>
          <w:szCs w:val="24"/>
        </w:rPr>
        <w:t>Elite</w:t>
      </w:r>
      <w:proofErr w:type="spellEnd"/>
      <w:r w:rsidR="00C2757C" w:rsidRPr="00C2757C">
        <w:rPr>
          <w:rFonts w:ascii="Times New Roman" w:hAnsi="Times New Roman"/>
          <w:b/>
          <w:sz w:val="24"/>
          <w:szCs w:val="24"/>
        </w:rPr>
        <w:t xml:space="preserve"> Taxi kontra </w:t>
      </w:r>
      <w:proofErr w:type="spellStart"/>
      <w:r w:rsidR="00C2757C" w:rsidRPr="00C2757C">
        <w:rPr>
          <w:rFonts w:ascii="Times New Roman" w:hAnsi="Times New Roman"/>
          <w:b/>
          <w:sz w:val="24"/>
          <w:szCs w:val="24"/>
        </w:rPr>
        <w:t>Uber</w:t>
      </w:r>
      <w:proofErr w:type="spellEnd"/>
      <w:r w:rsidR="00C2757C" w:rsidRPr="00C2757C">
        <w:rPr>
          <w:rFonts w:ascii="Times New Roman" w:hAnsi="Times New Roman"/>
          <w:b/>
          <w:sz w:val="24"/>
          <w:szCs w:val="24"/>
        </w:rPr>
        <w:t xml:space="preserve"> Systems Spain SL ügyben ismertetett főtanácsnoki indítvány alapján</w:t>
      </w:r>
    </w:p>
    <w:p w:rsidR="000F502B" w:rsidRDefault="000F502B" w:rsidP="00F75F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757C" w:rsidRPr="00C2757C" w:rsidRDefault="00C2757C" w:rsidP="00C2757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757C">
        <w:rPr>
          <w:rFonts w:ascii="Times New Roman" w:hAnsi="Times New Roman"/>
          <w:b/>
          <w:sz w:val="24"/>
          <w:szCs w:val="24"/>
          <w:u w:val="single"/>
        </w:rPr>
        <w:t>Vezetői összefoglaló</w:t>
      </w:r>
    </w:p>
    <w:p w:rsidR="00C2757C" w:rsidRPr="00C2757C" w:rsidRDefault="00C2757C" w:rsidP="00C275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C-</w:t>
      </w:r>
      <w:r w:rsidRPr="00C2757C">
        <w:rPr>
          <w:rFonts w:ascii="Times New Roman" w:hAnsi="Times New Roman"/>
          <w:b/>
          <w:sz w:val="24"/>
          <w:szCs w:val="24"/>
        </w:rPr>
        <w:t xml:space="preserve">434/15. számú,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Asociación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Profesional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Elite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Taxi kontra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Systems Spain SL ügyben 2017. május 11-én ismertetett főtanácsnoki indítványban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Maciej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Szpunar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főtanácsnok arra az álláspontra helyezkedett, </w:t>
      </w:r>
      <w:r>
        <w:rPr>
          <w:rFonts w:ascii="Times New Roman" w:hAnsi="Times New Roman"/>
          <w:b/>
          <w:sz w:val="24"/>
          <w:szCs w:val="24"/>
        </w:rPr>
        <w:t xml:space="preserve">hogy </w:t>
      </w:r>
      <w:r w:rsidRPr="00C2757C">
        <w:rPr>
          <w:rFonts w:ascii="Times New Roman" w:hAnsi="Times New Roman"/>
          <w:b/>
          <w:sz w:val="24"/>
          <w:szCs w:val="24"/>
        </w:rPr>
        <w:t xml:space="preserve">az utas és a sofőr összekapcsolására irányuló szolgáltatás se nem önálló, se nem elsődleges jellegű a közlekedési szolgáltatáshoz képest. Az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tevékenysége egyetlen, az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okostelefonos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alkalmazás segítségével megtalált és megrendelt járművel zajló közlekedési szolgáltatásból áll, és ezt a szolgáltatást gazdasági szempontból az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szolgáltatja, vagy az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nevében szolgáltatják. A felhasználók, amikor úgy döntenek, hogy az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szolgáltatását veszik igénybe, bizonyos funkciókkal és bizonyos minőséggel rendelkező közlekedési szolgáltatást keresnek. E funkciókat és e személyszállítási lehetőséget az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biztosítja. Erre való tekintettel az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szolgáltatása nem minősíthető az elektronikus kereskedelemről szóló irányelv</w:t>
      </w:r>
      <w:r w:rsidRPr="00C2757C">
        <w:rPr>
          <w:rFonts w:ascii="Times New Roman" w:hAnsi="Times New Roman"/>
          <w:b/>
          <w:sz w:val="24"/>
          <w:szCs w:val="24"/>
          <w:vertAlign w:val="superscript"/>
        </w:rPr>
        <w:footnoteReference w:id="1"/>
      </w:r>
      <w:r w:rsidRPr="00C2757C">
        <w:rPr>
          <w:rFonts w:ascii="Times New Roman" w:hAnsi="Times New Roman"/>
          <w:b/>
          <w:sz w:val="24"/>
          <w:szCs w:val="24"/>
        </w:rPr>
        <w:t xml:space="preserve"> szerinti „információs társadalommal összefüggő szolgáltatásnak”, szolgáltatása elsődlegesen közlekedési jellegű, mivel ellenőrzést gyakorol a közlekedési szolgáltatás lényeges feltételei (pl. díj meghatározása) felett.</w:t>
      </w:r>
      <w:r w:rsidRPr="00C2757C">
        <w:rPr>
          <w:rFonts w:ascii="Times New Roman" w:hAnsi="Times New Roman"/>
          <w:sz w:val="24"/>
          <w:szCs w:val="24"/>
        </w:rPr>
        <w:t xml:space="preserve"> </w:t>
      </w:r>
      <w:r w:rsidRPr="00C2757C">
        <w:rPr>
          <w:rFonts w:ascii="Times New Roman" w:hAnsi="Times New Roman"/>
          <w:b/>
          <w:sz w:val="24"/>
          <w:szCs w:val="24"/>
        </w:rPr>
        <w:t>Ha</w:t>
      </w:r>
      <w:r w:rsidRPr="00C2757C">
        <w:rPr>
          <w:rFonts w:ascii="Times New Roman" w:hAnsi="Times New Roman"/>
          <w:sz w:val="24"/>
          <w:szCs w:val="24"/>
        </w:rPr>
        <w:t xml:space="preserve"> </w:t>
      </w:r>
      <w:r w:rsidRPr="00C2757C">
        <w:rPr>
          <w:rFonts w:ascii="Times New Roman" w:hAnsi="Times New Roman"/>
          <w:b/>
          <w:sz w:val="24"/>
          <w:szCs w:val="24"/>
        </w:rPr>
        <w:t xml:space="preserve">az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Ubert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nem is szigorúan vett személyszállítónak, de legalábbis közlekedési szolgáltatásszervezőnek kell tekinteni, ezért tevékenysége a szolgáltatási irányelv</w:t>
      </w:r>
      <w:r w:rsidRPr="00C2757C">
        <w:rPr>
          <w:rFonts w:ascii="Times New Roman" w:hAnsi="Times New Roman"/>
          <w:b/>
          <w:sz w:val="24"/>
          <w:szCs w:val="24"/>
          <w:vertAlign w:val="superscript"/>
        </w:rPr>
        <w:footnoteReference w:id="2"/>
      </w:r>
      <w:r w:rsidRPr="00C2757C">
        <w:rPr>
          <w:rFonts w:ascii="Times New Roman" w:hAnsi="Times New Roman"/>
          <w:b/>
          <w:sz w:val="24"/>
          <w:szCs w:val="24"/>
        </w:rPr>
        <w:t xml:space="preserve"> 2. cikke (2) bekezdésének d) pontja értelmében vett, közlekedés területén nyújtott szolgáltatásnak tekintendő. Erre figyelemmel nem tartozik a szolgáltatási irányelv hatálya alá, továbbá az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tevékenysége a szolgáltatásnyújtás szabadsága alóli, az EUMSZ 58. cikk (1) bekezdésében előírt kivétel körébe tartozik.</w:t>
      </w:r>
      <w:r w:rsidRPr="00C2757C">
        <w:rPr>
          <w:rFonts w:ascii="Times New Roman" w:hAnsi="Times New Roman"/>
          <w:b/>
          <w:sz w:val="24"/>
          <w:szCs w:val="24"/>
          <w:vertAlign w:val="superscript"/>
        </w:rPr>
        <w:footnoteReference w:id="3"/>
      </w:r>
      <w:r w:rsidRPr="00C2757C">
        <w:rPr>
          <w:rFonts w:ascii="Times New Roman" w:hAnsi="Times New Roman"/>
          <w:b/>
          <w:sz w:val="24"/>
          <w:szCs w:val="24"/>
        </w:rPr>
        <w:t xml:space="preserve"> Mivel sem az elektronikus kereskedelmi, sem a szolgáltatási irányelv hatálya alá nem </w:t>
      </w:r>
      <w:r w:rsidRPr="00C2757C">
        <w:rPr>
          <w:rFonts w:ascii="Times New Roman" w:hAnsi="Times New Roman"/>
          <w:b/>
          <w:sz w:val="24"/>
          <w:szCs w:val="24"/>
        </w:rPr>
        <w:lastRenderedPageBreak/>
        <w:t>tartozik, az EU és a tagállamok megosztott hatáskörébe tartozó közlekedési szolgáltatásnak minősül, amelyet eddig nem gyakoroltak uniós szinten. Így a tagállamok a közlekedési ágazatra irányadó szabályok alapján jogosultak a területet szabályozni.</w:t>
      </w:r>
    </w:p>
    <w:p w:rsidR="00C2757C" w:rsidRPr="00C2757C" w:rsidRDefault="00C2757C" w:rsidP="00C275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757C" w:rsidRPr="00C2757C" w:rsidRDefault="00C2757C" w:rsidP="00C275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2757C">
        <w:rPr>
          <w:rFonts w:ascii="Times New Roman" w:hAnsi="Times New Roman"/>
          <w:b/>
          <w:sz w:val="24"/>
          <w:szCs w:val="24"/>
        </w:rPr>
        <w:t xml:space="preserve">A magyar szabályozás két elemből áll: a klasszikus közúti személyszállítási szolgáltatás mellett a közlekedésszervezési szolgáltatás önálló diszpécserszolgáltatásként van definiálva, és az ilyen szolgáltatást </w:t>
      </w:r>
      <w:proofErr w:type="gramStart"/>
      <w:r w:rsidRPr="00C2757C">
        <w:rPr>
          <w:rFonts w:ascii="Times New Roman" w:hAnsi="Times New Roman"/>
          <w:b/>
          <w:sz w:val="24"/>
          <w:szCs w:val="24"/>
        </w:rPr>
        <w:t>nyújtóknak</w:t>
      </w:r>
      <w:proofErr w:type="gramEnd"/>
      <w:r w:rsidRPr="00C2757C">
        <w:rPr>
          <w:rFonts w:ascii="Times New Roman" w:hAnsi="Times New Roman"/>
          <w:b/>
          <w:sz w:val="24"/>
          <w:szCs w:val="24"/>
        </w:rPr>
        <w:t xml:space="preserve"> ugyanazoknak a feltételeknek kell megfelelniük, mint a közúti személyszállítási szolgáltatást nyújtóknak. A közlekedési hatóság ideiglenesen elérhetetlenné teheti azt az elektronikus hírközlő hálózat útján közzétett üzletszerűen végzett személyszállítási szolgáltatást közvetítő vagy szervező szolgáltatást, amely nem felel meg a Kormány rendeletében meghatározott diszpécserszolgálati vagy önálló diszpécserszolgálati tevékenységre vonatkozóan megállapított követelményeknek.</w:t>
      </w:r>
    </w:p>
    <w:p w:rsidR="00C2757C" w:rsidRPr="00C2757C" w:rsidRDefault="00C2757C" w:rsidP="00C275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757C" w:rsidRPr="00C2757C" w:rsidRDefault="00C2757C" w:rsidP="00C275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2757C">
        <w:rPr>
          <w:rFonts w:ascii="Times New Roman" w:hAnsi="Times New Roman"/>
          <w:b/>
          <w:sz w:val="24"/>
          <w:szCs w:val="24"/>
        </w:rPr>
        <w:t xml:space="preserve">Bár az alapeljárásban nem volt szó az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alkalmazás blokkolásáról vagy más módon történő működésképtelenné tételéről, kizárólag az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azon lehetőségéről, hogy ezen alkalmazás segítségével nyújthatja-e az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UberPop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szolgáltatást,</w:t>
      </w:r>
      <w:r w:rsidRPr="00C2757C">
        <w:rPr>
          <w:rFonts w:ascii="Times New Roman" w:hAnsi="Times New Roman"/>
          <w:b/>
          <w:sz w:val="24"/>
          <w:szCs w:val="24"/>
          <w:vertAlign w:val="superscript"/>
        </w:rPr>
        <w:footnoteReference w:id="4"/>
      </w:r>
      <w:r w:rsidRPr="00C2757C">
        <w:rPr>
          <w:rFonts w:ascii="Times New Roman" w:hAnsi="Times New Roman"/>
          <w:b/>
          <w:sz w:val="24"/>
          <w:szCs w:val="24"/>
        </w:rPr>
        <w:t xml:space="preserve"> mivel a főtanácsnok az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szolgáltatását elsődlegesen közlekedési szolgáltatásnak és nem az információs társadalommal összefüggő szolgáltatásnak minősítette, amennyiben az EUB a későbbiekben osztja a főtanácsnok álláspontját, úgy a diszpécserszolgálat engedélyezésére vonatkozó magyar szabályozás az uniós jognak való megfelelés szempontjából nem igényel módosítást,</w:t>
      </w:r>
      <w:proofErr w:type="gramEnd"/>
      <w:r w:rsidRPr="00C2757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2757C">
        <w:rPr>
          <w:rFonts w:ascii="Times New Roman" w:hAnsi="Times New Roman"/>
          <w:b/>
          <w:sz w:val="24"/>
          <w:szCs w:val="24"/>
        </w:rPr>
        <w:t>és</w:t>
      </w:r>
      <w:proofErr w:type="gramEnd"/>
      <w:r w:rsidRPr="00C2757C">
        <w:rPr>
          <w:rFonts w:ascii="Times New Roman" w:hAnsi="Times New Roman"/>
          <w:b/>
          <w:sz w:val="24"/>
          <w:szCs w:val="24"/>
        </w:rPr>
        <w:t xml:space="preserve"> a műszaki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notifikáció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elmaradása sem jelentheti az uniós jog sérelmét.</w:t>
      </w:r>
    </w:p>
    <w:p w:rsidR="00C2757C" w:rsidRDefault="00C2757C" w:rsidP="00C275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757C" w:rsidRPr="00C2757C" w:rsidRDefault="00C2757C" w:rsidP="00C275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757C" w:rsidRPr="00C2757C" w:rsidRDefault="00C2757C" w:rsidP="00C275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2757C">
        <w:rPr>
          <w:rFonts w:ascii="Times New Roman" w:hAnsi="Times New Roman"/>
          <w:b/>
          <w:sz w:val="24"/>
          <w:szCs w:val="24"/>
        </w:rPr>
        <w:t>Részletes elemzés</w:t>
      </w:r>
    </w:p>
    <w:p w:rsidR="00C2757C" w:rsidRPr="00C2757C" w:rsidRDefault="00C2757C" w:rsidP="00C275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757C" w:rsidRDefault="00C2757C" w:rsidP="00C275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2757C">
        <w:rPr>
          <w:rFonts w:ascii="Times New Roman" w:hAnsi="Times New Roman"/>
          <w:b/>
          <w:sz w:val="24"/>
          <w:szCs w:val="24"/>
        </w:rPr>
        <w:t>I.</w:t>
      </w:r>
      <w:r w:rsidRPr="00C2757C">
        <w:rPr>
          <w:rFonts w:ascii="Times New Roman" w:hAnsi="Times New Roman"/>
          <w:b/>
          <w:sz w:val="24"/>
          <w:szCs w:val="24"/>
        </w:rPr>
        <w:tab/>
        <w:t xml:space="preserve">Az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sz</w:t>
      </w:r>
      <w:r w:rsidR="00B62BCA">
        <w:rPr>
          <w:rFonts w:ascii="Times New Roman" w:hAnsi="Times New Roman"/>
          <w:b/>
          <w:sz w:val="24"/>
          <w:szCs w:val="24"/>
        </w:rPr>
        <w:t>olgáltatásának jogi jellege a C-</w:t>
      </w:r>
      <w:r w:rsidRPr="00C2757C">
        <w:rPr>
          <w:rFonts w:ascii="Times New Roman" w:hAnsi="Times New Roman"/>
          <w:b/>
          <w:sz w:val="24"/>
          <w:szCs w:val="24"/>
        </w:rPr>
        <w:t>434/15. számú ügyben ismertetett főtanácsnoki indítvány alapján</w:t>
      </w:r>
    </w:p>
    <w:p w:rsidR="00B62BCA" w:rsidRPr="00C2757C" w:rsidRDefault="00B62BCA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757C" w:rsidRPr="00C2757C" w:rsidRDefault="00C2757C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757C">
        <w:rPr>
          <w:rFonts w:ascii="Times New Roman" w:hAnsi="Times New Roman"/>
          <w:sz w:val="24"/>
          <w:szCs w:val="24"/>
        </w:rPr>
        <w:t xml:space="preserve">A </w:t>
      </w:r>
      <w:r w:rsidR="00B62BCA">
        <w:rPr>
          <w:rFonts w:ascii="Times New Roman" w:hAnsi="Times New Roman"/>
          <w:i/>
          <w:sz w:val="24"/>
          <w:szCs w:val="24"/>
        </w:rPr>
        <w:t>C-</w:t>
      </w:r>
      <w:r w:rsidRPr="00C2757C">
        <w:rPr>
          <w:rFonts w:ascii="Times New Roman" w:hAnsi="Times New Roman"/>
          <w:i/>
          <w:sz w:val="24"/>
          <w:szCs w:val="24"/>
        </w:rPr>
        <w:t>434/15.</w:t>
      </w:r>
      <w:r w:rsidRPr="00C2757C">
        <w:rPr>
          <w:rFonts w:ascii="Times New Roman" w:hAnsi="Times New Roman"/>
          <w:sz w:val="24"/>
          <w:szCs w:val="24"/>
        </w:rPr>
        <w:t xml:space="preserve"> számú, </w:t>
      </w:r>
      <w:proofErr w:type="spellStart"/>
      <w:r w:rsidRPr="00C2757C">
        <w:rPr>
          <w:rFonts w:ascii="Times New Roman" w:hAnsi="Times New Roman"/>
          <w:sz w:val="24"/>
          <w:szCs w:val="24"/>
        </w:rPr>
        <w:t>Asociación</w:t>
      </w:r>
      <w:proofErr w:type="spellEnd"/>
      <w:r w:rsidRPr="00C275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757C">
        <w:rPr>
          <w:rFonts w:ascii="Times New Roman" w:hAnsi="Times New Roman"/>
          <w:sz w:val="24"/>
          <w:szCs w:val="24"/>
        </w:rPr>
        <w:t>Profesional</w:t>
      </w:r>
      <w:proofErr w:type="spellEnd"/>
      <w:r w:rsidRPr="00C275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757C">
        <w:rPr>
          <w:rFonts w:ascii="Times New Roman" w:hAnsi="Times New Roman"/>
          <w:sz w:val="24"/>
          <w:szCs w:val="24"/>
        </w:rPr>
        <w:t>Elite</w:t>
      </w:r>
      <w:proofErr w:type="spellEnd"/>
      <w:r w:rsidRPr="00C2757C">
        <w:rPr>
          <w:rFonts w:ascii="Times New Roman" w:hAnsi="Times New Roman"/>
          <w:sz w:val="24"/>
          <w:szCs w:val="24"/>
        </w:rPr>
        <w:t xml:space="preserve"> Taxi kontra </w:t>
      </w:r>
      <w:proofErr w:type="spellStart"/>
      <w:r w:rsidRPr="00C2757C">
        <w:rPr>
          <w:rFonts w:ascii="Times New Roman" w:hAnsi="Times New Roman"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sz w:val="24"/>
          <w:szCs w:val="24"/>
        </w:rPr>
        <w:t xml:space="preserve"> Systems Spain SL ügyben egy spanyol bíróság előzetes döntéshozatali eljárást kezdeményezett</w:t>
      </w:r>
      <w:r w:rsidRPr="00C2757C">
        <w:rPr>
          <w:rFonts w:ascii="Times New Roman" w:hAnsi="Times New Roman"/>
          <w:sz w:val="24"/>
          <w:szCs w:val="24"/>
          <w:vertAlign w:val="superscript"/>
        </w:rPr>
        <w:footnoteReference w:id="5"/>
      </w:r>
      <w:r w:rsidRPr="00C2757C">
        <w:rPr>
          <w:rFonts w:ascii="Times New Roman" w:hAnsi="Times New Roman"/>
          <w:sz w:val="24"/>
          <w:szCs w:val="24"/>
        </w:rPr>
        <w:t xml:space="preserve"> az Európai Unió Bírósága (EUB) előtt, az eljárásban a főtanácsnok 2017. május 11-én ismertette indítványát.</w:t>
      </w:r>
      <w:r w:rsidRPr="00C2757C">
        <w:rPr>
          <w:rFonts w:ascii="Times New Roman" w:hAnsi="Times New Roman"/>
          <w:sz w:val="24"/>
          <w:szCs w:val="24"/>
          <w:vertAlign w:val="superscript"/>
        </w:rPr>
        <w:footnoteReference w:id="6"/>
      </w:r>
    </w:p>
    <w:p w:rsidR="00B62BCA" w:rsidRDefault="00B62BCA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757C" w:rsidRPr="00C2757C" w:rsidRDefault="00C2757C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757C">
        <w:rPr>
          <w:rFonts w:ascii="Times New Roman" w:hAnsi="Times New Roman"/>
          <w:sz w:val="24"/>
          <w:szCs w:val="24"/>
        </w:rPr>
        <w:t xml:space="preserve">A spanyol bíróság négy kérdést terjeszt elő előzetes döntéshozatalra, amelyek közül az első kettő az </w:t>
      </w:r>
      <w:proofErr w:type="spellStart"/>
      <w:r w:rsidRPr="00C2757C">
        <w:rPr>
          <w:rFonts w:ascii="Times New Roman" w:hAnsi="Times New Roman"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sz w:val="24"/>
          <w:szCs w:val="24"/>
        </w:rPr>
        <w:t xml:space="preserve"> tevékenységének az elektronikus kereskedelemről szóló irányelv</w:t>
      </w:r>
      <w:r w:rsidRPr="00C2757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C2757C">
        <w:rPr>
          <w:rFonts w:ascii="Times New Roman" w:hAnsi="Times New Roman"/>
          <w:sz w:val="24"/>
          <w:szCs w:val="24"/>
        </w:rPr>
        <w:t>és a szolgáltatási irányelv, valamint az EUMS</w:t>
      </w:r>
      <w:r w:rsidR="00B62BCA">
        <w:rPr>
          <w:rFonts w:ascii="Times New Roman" w:hAnsi="Times New Roman"/>
          <w:sz w:val="24"/>
          <w:szCs w:val="24"/>
        </w:rPr>
        <w:t>Z</w:t>
      </w:r>
      <w:r w:rsidRPr="00C2757C">
        <w:rPr>
          <w:rFonts w:ascii="Times New Roman" w:hAnsi="Times New Roman"/>
          <w:sz w:val="24"/>
          <w:szCs w:val="24"/>
        </w:rPr>
        <w:t xml:space="preserve"> alapján történő minősítésére, míg a másik kettő az adott esetben ebből a minősítésből levonandó következtetésekre vonatkozik.</w:t>
      </w:r>
    </w:p>
    <w:p w:rsidR="00B62BCA" w:rsidRDefault="00B62BCA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757C" w:rsidRDefault="00C2757C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757C">
        <w:rPr>
          <w:rFonts w:ascii="Times New Roman" w:hAnsi="Times New Roman"/>
          <w:sz w:val="24"/>
          <w:szCs w:val="24"/>
        </w:rPr>
        <w:t xml:space="preserve">Az első két kérdésével a kérdést előterjesztő spanyol bíróság arra kíván választ kapni, hogy az </w:t>
      </w:r>
      <w:proofErr w:type="spellStart"/>
      <w:r w:rsidRPr="00C2757C">
        <w:rPr>
          <w:rFonts w:ascii="Times New Roman" w:hAnsi="Times New Roman"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sz w:val="24"/>
          <w:szCs w:val="24"/>
        </w:rPr>
        <w:t xml:space="preserve"> tevékenysége az elektronikus kereskedelemről szóló irányelv és a szolgáltatási irányelv, </w:t>
      </w:r>
      <w:r w:rsidRPr="00C2757C">
        <w:rPr>
          <w:rFonts w:ascii="Times New Roman" w:hAnsi="Times New Roman"/>
          <w:sz w:val="24"/>
          <w:szCs w:val="24"/>
        </w:rPr>
        <w:lastRenderedPageBreak/>
        <w:t>valamint az EUMS</w:t>
      </w:r>
      <w:r w:rsidR="00B62BCA">
        <w:rPr>
          <w:rFonts w:ascii="Times New Roman" w:hAnsi="Times New Roman"/>
          <w:sz w:val="24"/>
          <w:szCs w:val="24"/>
        </w:rPr>
        <w:t>Z</w:t>
      </w:r>
      <w:r w:rsidRPr="00C2757C">
        <w:rPr>
          <w:rFonts w:ascii="Times New Roman" w:hAnsi="Times New Roman"/>
          <w:sz w:val="24"/>
          <w:szCs w:val="24"/>
        </w:rPr>
        <w:t xml:space="preserve"> szolgáltatásnyújtás szabadságára vonatkozó rendelkezéseinek hatálya alá tartozik-e. Ennek érdekében elengedhetetlen annak meghatározása, hogy az </w:t>
      </w:r>
      <w:proofErr w:type="spellStart"/>
      <w:r w:rsidRPr="00C2757C">
        <w:rPr>
          <w:rFonts w:ascii="Times New Roman" w:hAnsi="Times New Roman"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sz w:val="24"/>
          <w:szCs w:val="24"/>
        </w:rPr>
        <w:t xml:space="preserve"> tevékenysége minek minősíthető: </w:t>
      </w:r>
      <w:r w:rsidRPr="00C2757C">
        <w:rPr>
          <w:rFonts w:ascii="Times New Roman" w:hAnsi="Times New Roman"/>
          <w:i/>
          <w:sz w:val="24"/>
          <w:szCs w:val="24"/>
        </w:rPr>
        <w:t>információs társadalommal összefüggő szolgáltatásnak</w:t>
      </w:r>
      <w:r w:rsidR="00B62BCA">
        <w:rPr>
          <w:rFonts w:ascii="Times New Roman" w:hAnsi="Times New Roman"/>
          <w:i/>
          <w:sz w:val="24"/>
          <w:szCs w:val="24"/>
        </w:rPr>
        <w:t>,</w:t>
      </w:r>
      <w:r w:rsidRPr="00C2757C">
        <w:rPr>
          <w:rFonts w:ascii="Times New Roman" w:hAnsi="Times New Roman"/>
          <w:sz w:val="24"/>
          <w:szCs w:val="24"/>
          <w:vertAlign w:val="superscript"/>
        </w:rPr>
        <w:footnoteReference w:id="7"/>
      </w:r>
      <w:r w:rsidRPr="00C2757C">
        <w:rPr>
          <w:rFonts w:ascii="Times New Roman" w:hAnsi="Times New Roman"/>
          <w:sz w:val="24"/>
          <w:szCs w:val="24"/>
        </w:rPr>
        <w:t xml:space="preserve"> vagy </w:t>
      </w:r>
      <w:r w:rsidRPr="00C2757C">
        <w:rPr>
          <w:rFonts w:ascii="Times New Roman" w:hAnsi="Times New Roman"/>
          <w:i/>
          <w:sz w:val="24"/>
          <w:szCs w:val="24"/>
        </w:rPr>
        <w:t>közlekedés területén nyújtott szolgáltatásnak</w:t>
      </w:r>
      <w:r w:rsidR="00B62BCA">
        <w:rPr>
          <w:rFonts w:ascii="Times New Roman" w:hAnsi="Times New Roman"/>
          <w:i/>
          <w:sz w:val="24"/>
          <w:szCs w:val="24"/>
        </w:rPr>
        <w:t>.</w:t>
      </w:r>
      <w:r w:rsidRPr="00C2757C">
        <w:rPr>
          <w:rFonts w:ascii="Times New Roman" w:hAnsi="Times New Roman"/>
          <w:sz w:val="24"/>
          <w:szCs w:val="24"/>
          <w:vertAlign w:val="superscript"/>
        </w:rPr>
        <w:footnoteReference w:id="8"/>
      </w:r>
      <w:r w:rsidRPr="00C2757C">
        <w:rPr>
          <w:rFonts w:ascii="Times New Roman" w:hAnsi="Times New Roman"/>
          <w:sz w:val="24"/>
          <w:szCs w:val="24"/>
        </w:rPr>
        <w:t xml:space="preserve"> A kérdés megválaszolása azért is lényeges, mert a közlekedés területén nyújtott szolgáltatások esetén a tagállamok </w:t>
      </w:r>
      <w:proofErr w:type="gramStart"/>
      <w:r w:rsidRPr="00C2757C">
        <w:rPr>
          <w:rFonts w:ascii="Times New Roman" w:hAnsi="Times New Roman"/>
          <w:sz w:val="24"/>
          <w:szCs w:val="24"/>
        </w:rPr>
        <w:t>jóval</w:t>
      </w:r>
      <w:proofErr w:type="gramEnd"/>
      <w:r w:rsidRPr="00C2757C">
        <w:rPr>
          <w:rFonts w:ascii="Times New Roman" w:hAnsi="Times New Roman"/>
          <w:sz w:val="24"/>
          <w:szCs w:val="24"/>
        </w:rPr>
        <w:t xml:space="preserve"> nagyobb mozgástérrel rendelkeznek (pl. engedélyezés területén), mint az információs társadalommal összefüggő szolgáltatások esetében.</w:t>
      </w:r>
    </w:p>
    <w:p w:rsidR="00B62BCA" w:rsidRPr="00C2757C" w:rsidRDefault="00B62BCA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757C" w:rsidRDefault="00C2757C" w:rsidP="00C275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2757C">
        <w:rPr>
          <w:rFonts w:ascii="Times New Roman" w:hAnsi="Times New Roman"/>
          <w:b/>
          <w:sz w:val="24"/>
          <w:szCs w:val="24"/>
        </w:rPr>
        <w:t>A)</w:t>
      </w:r>
      <w:r w:rsidRPr="00C2757C">
        <w:rPr>
          <w:rFonts w:ascii="Times New Roman" w:hAnsi="Times New Roman"/>
          <w:b/>
          <w:sz w:val="24"/>
          <w:szCs w:val="24"/>
        </w:rPr>
        <w:tab/>
        <w:t>Vegyes szolgáltatás</w:t>
      </w:r>
    </w:p>
    <w:p w:rsidR="00B62BCA" w:rsidRPr="00C2757C" w:rsidRDefault="00B62BCA" w:rsidP="00C275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757C" w:rsidRDefault="00C2757C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757C">
        <w:rPr>
          <w:rFonts w:ascii="Times New Roman" w:hAnsi="Times New Roman"/>
          <w:sz w:val="24"/>
          <w:szCs w:val="24"/>
        </w:rPr>
        <w:t xml:space="preserve">A főtanácsnok álláspontja szerint az </w:t>
      </w:r>
      <w:proofErr w:type="spellStart"/>
      <w:r w:rsidRPr="00C2757C">
        <w:rPr>
          <w:rFonts w:ascii="Times New Roman" w:hAnsi="Times New Roman"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sz w:val="24"/>
          <w:szCs w:val="24"/>
        </w:rPr>
        <w:t xml:space="preserve"> lényegében azt teszi lehetővé, hogy egy </w:t>
      </w:r>
      <w:proofErr w:type="spellStart"/>
      <w:r w:rsidRPr="00C2757C">
        <w:rPr>
          <w:rFonts w:ascii="Times New Roman" w:hAnsi="Times New Roman"/>
          <w:sz w:val="24"/>
          <w:szCs w:val="24"/>
        </w:rPr>
        <w:t>okostelefonos</w:t>
      </w:r>
      <w:proofErr w:type="spellEnd"/>
      <w:r w:rsidRPr="00C2757C">
        <w:rPr>
          <w:rFonts w:ascii="Times New Roman" w:hAnsi="Times New Roman"/>
          <w:sz w:val="24"/>
          <w:szCs w:val="24"/>
        </w:rPr>
        <w:t xml:space="preserve"> alkalmazás révén a potenciális utasok sofőrt találjanak, azaz az </w:t>
      </w:r>
      <w:proofErr w:type="spellStart"/>
      <w:r w:rsidRPr="00C2757C">
        <w:rPr>
          <w:rFonts w:ascii="Times New Roman" w:hAnsi="Times New Roman"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sz w:val="24"/>
          <w:szCs w:val="24"/>
        </w:rPr>
        <w:t xml:space="preserve"> </w:t>
      </w:r>
      <w:r w:rsidRPr="00C2757C">
        <w:rPr>
          <w:rFonts w:ascii="Times New Roman" w:hAnsi="Times New Roman"/>
          <w:b/>
          <w:sz w:val="24"/>
          <w:szCs w:val="24"/>
        </w:rPr>
        <w:t>kapcsolatot teremt</w:t>
      </w:r>
      <w:r w:rsidRPr="00C2757C">
        <w:rPr>
          <w:rFonts w:ascii="Times New Roman" w:hAnsi="Times New Roman"/>
          <w:sz w:val="24"/>
          <w:szCs w:val="24"/>
        </w:rPr>
        <w:t xml:space="preserve"> </w:t>
      </w:r>
      <w:r w:rsidRPr="00C2757C">
        <w:rPr>
          <w:rFonts w:ascii="Times New Roman" w:hAnsi="Times New Roman"/>
          <w:b/>
          <w:sz w:val="24"/>
          <w:szCs w:val="24"/>
        </w:rPr>
        <w:t>a sofőrök és az utasok között</w:t>
      </w:r>
      <w:r w:rsidRPr="00C2757C">
        <w:rPr>
          <w:rFonts w:ascii="Times New Roman" w:hAnsi="Times New Roman"/>
          <w:sz w:val="24"/>
          <w:szCs w:val="24"/>
        </w:rPr>
        <w:t xml:space="preserve">, </w:t>
      </w:r>
      <w:r w:rsidRPr="00C2757C">
        <w:rPr>
          <w:rFonts w:ascii="Times New Roman" w:hAnsi="Times New Roman"/>
          <w:b/>
          <w:i/>
          <w:sz w:val="24"/>
          <w:szCs w:val="24"/>
        </w:rPr>
        <w:t>annak érdekében</w:t>
      </w:r>
      <w:r w:rsidRPr="00C2757C">
        <w:rPr>
          <w:rFonts w:ascii="Times New Roman" w:hAnsi="Times New Roman"/>
          <w:b/>
          <w:sz w:val="24"/>
          <w:szCs w:val="24"/>
        </w:rPr>
        <w:t>, hogy a sofőrök városi közlekedési szolgáltatást nyújtsanak</w:t>
      </w:r>
      <w:r w:rsidRPr="00C2757C">
        <w:rPr>
          <w:rFonts w:ascii="Times New Roman" w:hAnsi="Times New Roman"/>
          <w:sz w:val="24"/>
          <w:szCs w:val="24"/>
        </w:rPr>
        <w:t xml:space="preserve">. Ez a szolgáltatás </w:t>
      </w:r>
      <w:r w:rsidRPr="00C2757C">
        <w:rPr>
          <w:rFonts w:ascii="Times New Roman" w:hAnsi="Times New Roman"/>
          <w:b/>
          <w:sz w:val="24"/>
          <w:szCs w:val="24"/>
        </w:rPr>
        <w:t>vegyes</w:t>
      </w:r>
      <w:r w:rsidRPr="00C2757C">
        <w:rPr>
          <w:rFonts w:ascii="Times New Roman" w:hAnsi="Times New Roman"/>
          <w:sz w:val="24"/>
          <w:szCs w:val="24"/>
        </w:rPr>
        <w:t xml:space="preserve"> szolgáltatásnak minősül, amelynek egy részét elektronikus úton nyújtják, a másik részét pedig nem.</w:t>
      </w:r>
      <w:r w:rsidRPr="00C2757C">
        <w:rPr>
          <w:rFonts w:ascii="Times New Roman" w:hAnsi="Times New Roman"/>
          <w:sz w:val="24"/>
          <w:szCs w:val="24"/>
          <w:vertAlign w:val="superscript"/>
        </w:rPr>
        <w:footnoteReference w:id="9"/>
      </w:r>
      <w:r w:rsidRPr="00C2757C">
        <w:rPr>
          <w:rFonts w:ascii="Times New Roman" w:hAnsi="Times New Roman"/>
          <w:sz w:val="24"/>
          <w:szCs w:val="24"/>
        </w:rPr>
        <w:t xml:space="preserve"> Vegyes szolgáltatásról lévén szó, meg kell határozni a szolgáltatás domináns elemét, mert ez adja a szolgáltatás fő jellegét, ez alapján min</w:t>
      </w:r>
      <w:r w:rsidR="00B62BCA">
        <w:rPr>
          <w:rFonts w:ascii="Times New Roman" w:hAnsi="Times New Roman"/>
          <w:sz w:val="24"/>
          <w:szCs w:val="24"/>
        </w:rPr>
        <w:t>ősíthető a szolgáltatás egésze.</w:t>
      </w:r>
    </w:p>
    <w:p w:rsidR="00B62BCA" w:rsidRPr="00C2757C" w:rsidRDefault="00B62BCA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757C" w:rsidRDefault="00C2757C" w:rsidP="00C275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2757C">
        <w:rPr>
          <w:rFonts w:ascii="Times New Roman" w:hAnsi="Times New Roman"/>
          <w:sz w:val="24"/>
          <w:szCs w:val="24"/>
        </w:rPr>
        <w:t xml:space="preserve">A főtanácsnok arra a következtetésre jutott, hogy e vegyes szolgáltatásban </w:t>
      </w:r>
      <w:r w:rsidRPr="00C2757C">
        <w:rPr>
          <w:rFonts w:ascii="Times New Roman" w:hAnsi="Times New Roman"/>
          <w:b/>
          <w:sz w:val="24"/>
          <w:szCs w:val="24"/>
        </w:rPr>
        <w:t>elsődlegesnek a közlekedési szolgáltatás minősül</w:t>
      </w:r>
      <w:r w:rsidRPr="00C2757C">
        <w:rPr>
          <w:rFonts w:ascii="Times New Roman" w:hAnsi="Times New Roman"/>
          <w:sz w:val="24"/>
          <w:szCs w:val="24"/>
        </w:rPr>
        <w:t xml:space="preserve">, ugyanis az </w:t>
      </w:r>
      <w:proofErr w:type="spellStart"/>
      <w:r w:rsidRPr="00C2757C">
        <w:rPr>
          <w:rFonts w:ascii="Times New Roman" w:hAnsi="Times New Roman"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sz w:val="24"/>
          <w:szCs w:val="24"/>
        </w:rPr>
        <w:t xml:space="preserve"> alkalmazása kihat magának a </w:t>
      </w:r>
      <w:r w:rsidRPr="00C2757C">
        <w:rPr>
          <w:rFonts w:ascii="Times New Roman" w:hAnsi="Times New Roman"/>
          <w:b/>
          <w:sz w:val="24"/>
          <w:szCs w:val="24"/>
        </w:rPr>
        <w:t>személyszállítási szolgáltatásnak a megszervezésére</w:t>
      </w:r>
      <w:r w:rsidRPr="00C2757C">
        <w:rPr>
          <w:rFonts w:ascii="Times New Roman" w:hAnsi="Times New Roman"/>
          <w:sz w:val="24"/>
          <w:szCs w:val="24"/>
        </w:rPr>
        <w:t xml:space="preserve"> is. </w:t>
      </w:r>
      <w:r w:rsidRPr="00C2757C">
        <w:rPr>
          <w:rFonts w:ascii="Times New Roman" w:hAnsi="Times New Roman"/>
          <w:b/>
          <w:sz w:val="24"/>
          <w:szCs w:val="24"/>
        </w:rPr>
        <w:t xml:space="preserve">E kihatás nélkül az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pusztán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taxifoglalási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szolgáltatás lenne</w:t>
      </w:r>
      <w:r w:rsidRPr="00C2757C">
        <w:rPr>
          <w:rFonts w:ascii="Times New Roman" w:hAnsi="Times New Roman"/>
          <w:sz w:val="24"/>
          <w:szCs w:val="24"/>
        </w:rPr>
        <w:t xml:space="preserve">, ezért </w:t>
      </w:r>
      <w:r w:rsidRPr="00C2757C">
        <w:rPr>
          <w:rFonts w:ascii="Times New Roman" w:hAnsi="Times New Roman"/>
          <w:b/>
          <w:sz w:val="24"/>
          <w:szCs w:val="24"/>
        </w:rPr>
        <w:t>az alapeljárás tárgyát képező vegyes szolgáltatás esetében a közlekedési szolgáltatás az elsődleges szolgáltatás, amely az egész szolgáltatás gazdasági értelmét adja</w:t>
      </w:r>
      <w:r w:rsidRPr="00C2757C">
        <w:rPr>
          <w:rFonts w:ascii="Times New Roman" w:hAnsi="Times New Roman"/>
          <w:sz w:val="24"/>
          <w:szCs w:val="24"/>
        </w:rPr>
        <w:t>.</w:t>
      </w:r>
      <w:r w:rsidRPr="00C2757C">
        <w:rPr>
          <w:rFonts w:ascii="Times New Roman" w:hAnsi="Times New Roman"/>
          <w:sz w:val="24"/>
          <w:szCs w:val="24"/>
          <w:vertAlign w:val="superscript"/>
        </w:rPr>
        <w:footnoteReference w:id="10"/>
      </w:r>
      <w:r w:rsidRPr="00C2757C">
        <w:rPr>
          <w:rFonts w:ascii="Times New Roman" w:hAnsi="Times New Roman"/>
          <w:sz w:val="24"/>
          <w:szCs w:val="24"/>
        </w:rPr>
        <w:t xml:space="preserve"> </w:t>
      </w:r>
      <w:r w:rsidRPr="00C2757C">
        <w:rPr>
          <w:rFonts w:ascii="Times New Roman" w:hAnsi="Times New Roman"/>
          <w:b/>
          <w:sz w:val="24"/>
          <w:szCs w:val="24"/>
        </w:rPr>
        <w:t xml:space="preserve">Az utas és a sofőr </w:t>
      </w:r>
      <w:r w:rsidRPr="00C2757C">
        <w:rPr>
          <w:rFonts w:ascii="Times New Roman" w:hAnsi="Times New Roman"/>
          <w:b/>
          <w:i/>
          <w:sz w:val="24"/>
          <w:szCs w:val="24"/>
        </w:rPr>
        <w:t>összekapcsolására</w:t>
      </w:r>
      <w:r w:rsidRPr="00C2757C">
        <w:rPr>
          <w:rFonts w:ascii="Times New Roman" w:hAnsi="Times New Roman"/>
          <w:b/>
          <w:sz w:val="24"/>
          <w:szCs w:val="24"/>
        </w:rPr>
        <w:t xml:space="preserve"> irányuló szolgáltatás se nem önálló, se nem elsődleges jellegű a közlekedési szolgáltatáshoz képest. </w:t>
      </w:r>
      <w:r w:rsidRPr="00C2757C">
        <w:rPr>
          <w:rFonts w:ascii="Times New Roman" w:hAnsi="Times New Roman"/>
          <w:sz w:val="24"/>
          <w:szCs w:val="24"/>
        </w:rPr>
        <w:t>A kifejtettekre figyelemmel</w:t>
      </w:r>
      <w:r w:rsidRPr="00C2757C">
        <w:rPr>
          <w:rFonts w:ascii="Times New Roman" w:hAnsi="Times New Roman"/>
          <w:b/>
          <w:sz w:val="24"/>
          <w:szCs w:val="24"/>
        </w:rPr>
        <w:t xml:space="preserve"> az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szolgáltatása nem minősíthető „információs társadalommal összefüggő szolgáltatásnak”, szolgáltatása </w:t>
      </w:r>
      <w:r w:rsidRPr="00C2757C">
        <w:rPr>
          <w:rFonts w:ascii="Times New Roman" w:hAnsi="Times New Roman"/>
          <w:b/>
          <w:i/>
          <w:sz w:val="24"/>
          <w:szCs w:val="24"/>
        </w:rPr>
        <w:t>elsődlegesen közlekedési jellegű</w:t>
      </w:r>
      <w:r w:rsidRPr="00C2757C">
        <w:rPr>
          <w:rFonts w:ascii="Times New Roman" w:hAnsi="Times New Roman"/>
          <w:b/>
          <w:sz w:val="24"/>
          <w:szCs w:val="24"/>
        </w:rPr>
        <w:t xml:space="preserve">, mivel </w:t>
      </w:r>
      <w:r w:rsidRPr="00C2757C">
        <w:rPr>
          <w:rFonts w:ascii="Times New Roman" w:hAnsi="Times New Roman"/>
          <w:b/>
          <w:i/>
          <w:sz w:val="24"/>
          <w:szCs w:val="24"/>
        </w:rPr>
        <w:t>ellenőrzést gyakorol a közlekedési szolgáltatás lényeges feltételei</w:t>
      </w:r>
      <w:r w:rsidRPr="00C2757C">
        <w:rPr>
          <w:rFonts w:ascii="Times New Roman" w:hAnsi="Times New Roman"/>
          <w:b/>
          <w:sz w:val="24"/>
          <w:szCs w:val="24"/>
        </w:rPr>
        <w:t xml:space="preserve"> </w:t>
      </w:r>
      <w:r w:rsidRPr="00C2757C">
        <w:rPr>
          <w:rFonts w:ascii="Times New Roman" w:hAnsi="Times New Roman"/>
          <w:sz w:val="24"/>
          <w:szCs w:val="24"/>
        </w:rPr>
        <w:t>(pl. díj meghatározása)</w:t>
      </w:r>
      <w:r w:rsidRPr="00C2757C">
        <w:rPr>
          <w:rFonts w:ascii="Times New Roman" w:hAnsi="Times New Roman"/>
          <w:b/>
          <w:sz w:val="24"/>
          <w:szCs w:val="24"/>
        </w:rPr>
        <w:t xml:space="preserve"> </w:t>
      </w:r>
      <w:r w:rsidRPr="00C2757C">
        <w:rPr>
          <w:rFonts w:ascii="Times New Roman" w:hAnsi="Times New Roman"/>
          <w:b/>
          <w:i/>
          <w:sz w:val="24"/>
          <w:szCs w:val="24"/>
        </w:rPr>
        <w:t>felett</w:t>
      </w:r>
      <w:r w:rsidRPr="00C2757C">
        <w:rPr>
          <w:rFonts w:ascii="Times New Roman" w:hAnsi="Times New Roman"/>
          <w:b/>
          <w:sz w:val="24"/>
          <w:szCs w:val="24"/>
        </w:rPr>
        <w:t>.</w:t>
      </w:r>
      <w:r w:rsidRPr="00C2757C">
        <w:rPr>
          <w:rFonts w:ascii="Times New Roman" w:hAnsi="Times New Roman"/>
          <w:sz w:val="24"/>
          <w:szCs w:val="24"/>
          <w:vertAlign w:val="superscript"/>
        </w:rPr>
        <w:footnoteReference w:id="11"/>
      </w:r>
    </w:p>
    <w:p w:rsidR="00B62BCA" w:rsidRPr="00C2757C" w:rsidRDefault="00B62BCA" w:rsidP="00C275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757C" w:rsidRDefault="00C2757C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757C"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Pr="00C2757C">
        <w:rPr>
          <w:rFonts w:ascii="Times New Roman" w:hAnsi="Times New Roman"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sz w:val="24"/>
          <w:szCs w:val="24"/>
        </w:rPr>
        <w:t xml:space="preserve"> tehát </w:t>
      </w:r>
      <w:r w:rsidRPr="00C2757C">
        <w:rPr>
          <w:rFonts w:ascii="Times New Roman" w:hAnsi="Times New Roman"/>
          <w:b/>
          <w:sz w:val="24"/>
          <w:szCs w:val="24"/>
        </w:rPr>
        <w:t>nem egyszerű közvetítő</w:t>
      </w:r>
      <w:r w:rsidRPr="00C2757C">
        <w:rPr>
          <w:rFonts w:ascii="Times New Roman" w:hAnsi="Times New Roman"/>
          <w:sz w:val="24"/>
          <w:szCs w:val="24"/>
        </w:rPr>
        <w:t xml:space="preserve"> az alkalmilag közlekedési szolgáltatás nyújtására kész sofőrök és az ilyen szolgáltatást kereső utasok között, hanem </w:t>
      </w:r>
      <w:r w:rsidRPr="00C2757C">
        <w:rPr>
          <w:rFonts w:ascii="Times New Roman" w:hAnsi="Times New Roman"/>
          <w:b/>
          <w:sz w:val="24"/>
          <w:szCs w:val="24"/>
        </w:rPr>
        <w:t>a városi közlekedési szolgáltatások valódi szervezője és üzemeltetője</w:t>
      </w:r>
      <w:r w:rsidRPr="00C2757C">
        <w:rPr>
          <w:rFonts w:ascii="Times New Roman" w:hAnsi="Times New Roman"/>
          <w:sz w:val="24"/>
          <w:szCs w:val="24"/>
        </w:rPr>
        <w:t xml:space="preserve"> azokban a városokban, ahol jelen van. Bár az igaz, hogy koncepciója innovatív, ez az </w:t>
      </w:r>
      <w:r w:rsidRPr="00C2757C">
        <w:rPr>
          <w:rFonts w:ascii="Times New Roman" w:hAnsi="Times New Roman"/>
          <w:b/>
          <w:sz w:val="24"/>
          <w:szCs w:val="24"/>
        </w:rPr>
        <w:t>innováció a városi közlekedés területére esik</w:t>
      </w:r>
      <w:r w:rsidRPr="00C2757C">
        <w:rPr>
          <w:rFonts w:ascii="Times New Roman" w:hAnsi="Times New Roman"/>
          <w:sz w:val="24"/>
          <w:szCs w:val="24"/>
        </w:rPr>
        <w:t xml:space="preserve">. Az </w:t>
      </w:r>
      <w:proofErr w:type="spellStart"/>
      <w:r w:rsidRPr="00C2757C">
        <w:rPr>
          <w:rFonts w:ascii="Times New Roman" w:hAnsi="Times New Roman"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sz w:val="24"/>
          <w:szCs w:val="24"/>
        </w:rPr>
        <w:t xml:space="preserve"> keretében működő sofőrök nem fejtenek ki független gazdasági tevékenységet, tevékenységük nem független az </w:t>
      </w:r>
      <w:proofErr w:type="spellStart"/>
      <w:r w:rsidRPr="00C2757C">
        <w:rPr>
          <w:rFonts w:ascii="Times New Roman" w:hAnsi="Times New Roman"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sz w:val="24"/>
          <w:szCs w:val="24"/>
        </w:rPr>
        <w:t xml:space="preserve"> alkalmazástól, az alkalmazás pedig kihat magának a személyszállítási szolgáltatásnak a megszervezésére is, ami nélkül az </w:t>
      </w:r>
      <w:proofErr w:type="spellStart"/>
      <w:r w:rsidRPr="00C2757C">
        <w:rPr>
          <w:rFonts w:ascii="Times New Roman" w:hAnsi="Times New Roman"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sz w:val="24"/>
          <w:szCs w:val="24"/>
        </w:rPr>
        <w:t xml:space="preserve"> pusztán </w:t>
      </w:r>
      <w:proofErr w:type="spellStart"/>
      <w:r w:rsidRPr="00C2757C">
        <w:rPr>
          <w:rFonts w:ascii="Times New Roman" w:hAnsi="Times New Roman"/>
          <w:sz w:val="24"/>
          <w:szCs w:val="24"/>
        </w:rPr>
        <w:t>taxifoglalási</w:t>
      </w:r>
      <w:proofErr w:type="spellEnd"/>
      <w:r w:rsidRPr="00C2757C">
        <w:rPr>
          <w:rFonts w:ascii="Times New Roman" w:hAnsi="Times New Roman"/>
          <w:sz w:val="24"/>
          <w:szCs w:val="24"/>
        </w:rPr>
        <w:t xml:space="preserve"> </w:t>
      </w:r>
      <w:r w:rsidRPr="00C2757C">
        <w:rPr>
          <w:rFonts w:ascii="Times New Roman" w:hAnsi="Times New Roman"/>
          <w:sz w:val="24"/>
          <w:szCs w:val="24"/>
        </w:rPr>
        <w:lastRenderedPageBreak/>
        <w:t>szolgáltatás lenne, ezért e szolgáltatás keretében vitathatatlanul a közlekedési szolgáltatás az elsődleges szolgáltatás.</w:t>
      </w:r>
      <w:r w:rsidRPr="00C2757C">
        <w:rPr>
          <w:rFonts w:ascii="Times New Roman" w:hAnsi="Times New Roman"/>
          <w:sz w:val="24"/>
          <w:szCs w:val="24"/>
          <w:vertAlign w:val="superscript"/>
        </w:rPr>
        <w:footnoteReference w:id="12"/>
      </w:r>
    </w:p>
    <w:p w:rsidR="000F66EF" w:rsidRPr="00C2757C" w:rsidRDefault="000F66EF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757C" w:rsidRDefault="00C2757C" w:rsidP="00C275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2757C">
        <w:rPr>
          <w:rFonts w:ascii="Times New Roman" w:hAnsi="Times New Roman"/>
          <w:sz w:val="24"/>
          <w:szCs w:val="24"/>
        </w:rPr>
        <w:t xml:space="preserve">A főtanácsnok álláspontja szerint az alapeljárás tárgyát képező szolgáltatás esetében az </w:t>
      </w:r>
      <w:proofErr w:type="spellStart"/>
      <w:r w:rsidRPr="00C2757C">
        <w:rPr>
          <w:rFonts w:ascii="Times New Roman" w:hAnsi="Times New Roman"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sz w:val="24"/>
          <w:szCs w:val="24"/>
        </w:rPr>
        <w:t xml:space="preserve"> </w:t>
      </w:r>
      <w:r w:rsidRPr="00C2757C">
        <w:rPr>
          <w:rFonts w:ascii="Times New Roman" w:hAnsi="Times New Roman"/>
          <w:b/>
          <w:i/>
          <w:sz w:val="24"/>
          <w:szCs w:val="24"/>
        </w:rPr>
        <w:t>városi közlekedési szolgáltatásokat</w:t>
      </w:r>
      <w:r w:rsidRPr="00C2757C">
        <w:rPr>
          <w:rFonts w:ascii="Times New Roman" w:hAnsi="Times New Roman"/>
          <w:sz w:val="24"/>
          <w:szCs w:val="24"/>
        </w:rPr>
        <w:t xml:space="preserve"> nyújt, és ha az </w:t>
      </w:r>
      <w:proofErr w:type="spellStart"/>
      <w:r w:rsidRPr="00C2757C">
        <w:rPr>
          <w:rFonts w:ascii="Times New Roman" w:hAnsi="Times New Roman"/>
          <w:sz w:val="24"/>
          <w:szCs w:val="24"/>
        </w:rPr>
        <w:t>Ubert</w:t>
      </w:r>
      <w:proofErr w:type="spellEnd"/>
      <w:r w:rsidRPr="00C2757C">
        <w:rPr>
          <w:rFonts w:ascii="Times New Roman" w:hAnsi="Times New Roman"/>
          <w:sz w:val="24"/>
          <w:szCs w:val="24"/>
        </w:rPr>
        <w:t xml:space="preserve"> nem is szigorúan vett személyszállítónak, de legalábbis </w:t>
      </w:r>
      <w:r w:rsidRPr="00C2757C">
        <w:rPr>
          <w:rFonts w:ascii="Times New Roman" w:hAnsi="Times New Roman"/>
          <w:b/>
          <w:i/>
          <w:sz w:val="24"/>
          <w:szCs w:val="24"/>
        </w:rPr>
        <w:t>közlekedési szolgáltatásszervezőnek</w:t>
      </w:r>
      <w:r w:rsidRPr="00C2757C">
        <w:rPr>
          <w:rFonts w:ascii="Times New Roman" w:hAnsi="Times New Roman"/>
          <w:sz w:val="24"/>
          <w:szCs w:val="24"/>
        </w:rPr>
        <w:t xml:space="preserve"> kell tekinteni, ezért tevékenysége a 2006/123 irányelv 2. cikke (2) bekezdésének d) pontja értelmében vett, </w:t>
      </w:r>
      <w:r w:rsidRPr="00C2757C">
        <w:rPr>
          <w:rFonts w:ascii="Times New Roman" w:hAnsi="Times New Roman"/>
          <w:b/>
          <w:sz w:val="24"/>
          <w:szCs w:val="24"/>
        </w:rPr>
        <w:t>közlekedés területén nyújtott szolgáltatásnak</w:t>
      </w:r>
      <w:r w:rsidRPr="00C2757C">
        <w:rPr>
          <w:rFonts w:ascii="Times New Roman" w:hAnsi="Times New Roman"/>
          <w:sz w:val="24"/>
          <w:szCs w:val="24"/>
        </w:rPr>
        <w:t xml:space="preserve"> tekintendő. Erre figyelemmel nem tartozik a szolgáltatási irányelv hatálya alá, továbbá az </w:t>
      </w:r>
      <w:proofErr w:type="spellStart"/>
      <w:r w:rsidRPr="00C2757C">
        <w:rPr>
          <w:rFonts w:ascii="Times New Roman" w:hAnsi="Times New Roman"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sz w:val="24"/>
          <w:szCs w:val="24"/>
        </w:rPr>
        <w:t xml:space="preserve"> tevékenysége a </w:t>
      </w:r>
      <w:r w:rsidRPr="00C2757C">
        <w:rPr>
          <w:rFonts w:ascii="Times New Roman" w:hAnsi="Times New Roman"/>
          <w:b/>
          <w:sz w:val="24"/>
          <w:szCs w:val="24"/>
        </w:rPr>
        <w:t>szolgáltatásnyújtás szabadsága alóli, az EUMSZ 58. cikk (1) bekezdésében előírt kivétel körébe tartozik.</w:t>
      </w:r>
      <w:r w:rsidRPr="00C2757C">
        <w:rPr>
          <w:rFonts w:ascii="Times New Roman" w:hAnsi="Times New Roman"/>
          <w:sz w:val="24"/>
          <w:szCs w:val="24"/>
          <w:vertAlign w:val="superscript"/>
        </w:rPr>
        <w:footnoteReference w:id="13"/>
      </w:r>
    </w:p>
    <w:p w:rsidR="000F66EF" w:rsidRPr="00C2757C" w:rsidRDefault="000F66EF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757C" w:rsidRDefault="00C2757C" w:rsidP="00C275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2757C">
        <w:rPr>
          <w:rFonts w:ascii="Times New Roman" w:hAnsi="Times New Roman"/>
          <w:b/>
          <w:sz w:val="24"/>
          <w:szCs w:val="24"/>
        </w:rPr>
        <w:t>B)</w:t>
      </w:r>
      <w:r w:rsidRPr="00C2757C">
        <w:rPr>
          <w:rFonts w:ascii="Times New Roman" w:hAnsi="Times New Roman"/>
          <w:sz w:val="24"/>
          <w:szCs w:val="24"/>
        </w:rPr>
        <w:tab/>
      </w:r>
      <w:r w:rsidRPr="00C2757C">
        <w:rPr>
          <w:rFonts w:ascii="Times New Roman" w:hAnsi="Times New Roman"/>
          <w:b/>
          <w:sz w:val="24"/>
          <w:szCs w:val="24"/>
        </w:rPr>
        <w:t>Összekapcsolási szolgáltatás</w:t>
      </w:r>
    </w:p>
    <w:p w:rsidR="000F66EF" w:rsidRPr="00C2757C" w:rsidRDefault="000F66EF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757C" w:rsidRDefault="00C2757C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757C">
        <w:rPr>
          <w:rFonts w:ascii="Times New Roman" w:hAnsi="Times New Roman"/>
          <w:sz w:val="24"/>
          <w:szCs w:val="24"/>
        </w:rPr>
        <w:t xml:space="preserve">A főtanácsnok az indítványában az alapeljárásban szereplő un.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UberPop</w:t>
      </w:r>
      <w:proofErr w:type="spellEnd"/>
      <w:r w:rsidRPr="00C2757C">
        <w:rPr>
          <w:rFonts w:ascii="Times New Roman" w:hAnsi="Times New Roman"/>
          <w:sz w:val="24"/>
          <w:szCs w:val="24"/>
        </w:rPr>
        <w:t xml:space="preserve"> </w:t>
      </w:r>
      <w:r w:rsidRPr="00C2757C">
        <w:rPr>
          <w:rFonts w:ascii="Times New Roman" w:hAnsi="Times New Roman"/>
          <w:b/>
          <w:sz w:val="24"/>
          <w:szCs w:val="24"/>
        </w:rPr>
        <w:t>szolgáltatás</w:t>
      </w:r>
      <w:r w:rsidRPr="00C2757C">
        <w:rPr>
          <w:rFonts w:ascii="Times New Roman" w:hAnsi="Times New Roman"/>
          <w:sz w:val="24"/>
          <w:szCs w:val="24"/>
        </w:rPr>
        <w:t xml:space="preserve">t vizsgálta, ugyanakkor kitért annak elemzésére is, ha az </w:t>
      </w:r>
      <w:proofErr w:type="spellStart"/>
      <w:r w:rsidRPr="00C2757C">
        <w:rPr>
          <w:rFonts w:ascii="Times New Roman" w:hAnsi="Times New Roman"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sz w:val="24"/>
          <w:szCs w:val="24"/>
        </w:rPr>
        <w:t xml:space="preserve"> tevékenysége </w:t>
      </w:r>
      <w:r w:rsidRPr="00C2757C">
        <w:rPr>
          <w:rFonts w:ascii="Times New Roman" w:hAnsi="Times New Roman"/>
          <w:b/>
          <w:sz w:val="24"/>
          <w:szCs w:val="24"/>
        </w:rPr>
        <w:t xml:space="preserve">kizárólag a sofőr és az utas összekapcsolására terjedne ki anélkül, hogy az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a közlekedési szolgáltatás felett ellenőrző befolyást gyakorolna</w:t>
      </w:r>
      <w:r w:rsidRPr="00C2757C">
        <w:rPr>
          <w:rFonts w:ascii="Times New Roman" w:hAnsi="Times New Roman"/>
          <w:sz w:val="24"/>
          <w:szCs w:val="24"/>
        </w:rPr>
        <w:t>.</w:t>
      </w:r>
      <w:r w:rsidRPr="00C2757C">
        <w:rPr>
          <w:rFonts w:ascii="Times New Roman" w:hAnsi="Times New Roman"/>
          <w:sz w:val="24"/>
          <w:szCs w:val="24"/>
          <w:vertAlign w:val="superscript"/>
        </w:rPr>
        <w:footnoteReference w:id="14"/>
      </w:r>
      <w:r w:rsidRPr="00C2757C">
        <w:rPr>
          <w:rFonts w:ascii="Times New Roman" w:hAnsi="Times New Roman"/>
          <w:sz w:val="24"/>
          <w:szCs w:val="24"/>
        </w:rPr>
        <w:t xml:space="preserve"> E kérdésben a főtanácsnok akként foglalt állást, hogy amennyiben a potenciális </w:t>
      </w:r>
      <w:r w:rsidRPr="00C2757C">
        <w:rPr>
          <w:rFonts w:ascii="Times New Roman" w:hAnsi="Times New Roman"/>
          <w:b/>
          <w:sz w:val="24"/>
          <w:szCs w:val="24"/>
        </w:rPr>
        <w:t>utasok és a sofőrök összekapcsolására irányuló szolgáltatást</w:t>
      </w:r>
      <w:r w:rsidRPr="00C2757C">
        <w:rPr>
          <w:rFonts w:ascii="Times New Roman" w:hAnsi="Times New Roman"/>
          <w:sz w:val="24"/>
          <w:szCs w:val="24"/>
        </w:rPr>
        <w:t xml:space="preserve"> </w:t>
      </w:r>
      <w:r w:rsidRPr="00C2757C">
        <w:rPr>
          <w:rFonts w:ascii="Times New Roman" w:hAnsi="Times New Roman"/>
          <w:b/>
          <w:i/>
          <w:sz w:val="24"/>
          <w:szCs w:val="24"/>
        </w:rPr>
        <w:t>függetlennek</w:t>
      </w:r>
      <w:r w:rsidRPr="00C2757C">
        <w:rPr>
          <w:rFonts w:ascii="Times New Roman" w:hAnsi="Times New Roman"/>
          <w:sz w:val="24"/>
          <w:szCs w:val="24"/>
        </w:rPr>
        <w:t xml:space="preserve"> </w:t>
      </w:r>
      <w:r w:rsidRPr="00C2757C">
        <w:rPr>
          <w:rFonts w:ascii="Times New Roman" w:hAnsi="Times New Roman"/>
          <w:b/>
          <w:sz w:val="24"/>
          <w:szCs w:val="24"/>
        </w:rPr>
        <w:t>kellene tekinteni a szorosan vett közlekedési szolgáltatástól</w:t>
      </w:r>
      <w:r w:rsidRPr="00C2757C">
        <w:rPr>
          <w:rFonts w:ascii="Times New Roman" w:hAnsi="Times New Roman"/>
          <w:sz w:val="24"/>
          <w:szCs w:val="24"/>
        </w:rPr>
        <w:t xml:space="preserve">, akkor az az </w:t>
      </w:r>
      <w:r w:rsidRPr="00C2757C">
        <w:rPr>
          <w:rFonts w:ascii="Times New Roman" w:hAnsi="Times New Roman"/>
          <w:b/>
          <w:sz w:val="24"/>
          <w:szCs w:val="24"/>
        </w:rPr>
        <w:t>információs társadalommal összefüggő szolgáltatásnak minősülne</w:t>
      </w:r>
      <w:r w:rsidR="000F66EF">
        <w:rPr>
          <w:rFonts w:ascii="Times New Roman" w:hAnsi="Times New Roman"/>
          <w:sz w:val="24"/>
          <w:szCs w:val="24"/>
        </w:rPr>
        <w:t>.</w:t>
      </w:r>
    </w:p>
    <w:p w:rsidR="000F66EF" w:rsidRPr="00C2757C" w:rsidRDefault="000F66EF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757C" w:rsidRDefault="00C2757C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757C">
        <w:rPr>
          <w:rFonts w:ascii="Times New Roman" w:hAnsi="Times New Roman"/>
          <w:b/>
          <w:sz w:val="24"/>
          <w:szCs w:val="24"/>
        </w:rPr>
        <w:t>Ez esetben a 2000/31 irányelv 3. cikkének (2) bekezdésével ellentétes lenne az ilyen szolgáltatás engedélyhez kötése</w:t>
      </w:r>
      <w:r w:rsidRPr="00C2757C">
        <w:rPr>
          <w:rFonts w:ascii="Times New Roman" w:hAnsi="Times New Roman"/>
          <w:sz w:val="24"/>
          <w:szCs w:val="24"/>
        </w:rPr>
        <w:t xml:space="preserve">, kivéve, ha ezt a követelményt az irányelv 3. cikkének (4) bekezdésében felsorolt valamelyik közérdekű ok igazolná, és ha az arányos lenne az elérni kívánt célkitűzéssel, ami a főtanácsnoki vélemény szerint kevéssé valószínű. Ugyanakkor a főtanácsnok álláspontja szerint </w:t>
      </w:r>
      <w:r w:rsidRPr="00C2757C">
        <w:rPr>
          <w:rFonts w:ascii="Times New Roman" w:hAnsi="Times New Roman"/>
          <w:b/>
          <w:sz w:val="24"/>
          <w:szCs w:val="24"/>
        </w:rPr>
        <w:t>egy összekapcsolási szolgáltatásnak semmilyen gazdasági értelme nincs a közlekedési szolgáltatások nélkül, ez utóbbit viszont a nemzeti jogalkotó számos követelménytől tehet</w:t>
      </w:r>
      <w:r w:rsidR="000F66EF">
        <w:rPr>
          <w:rFonts w:ascii="Times New Roman" w:hAnsi="Times New Roman"/>
          <w:b/>
          <w:sz w:val="24"/>
          <w:szCs w:val="24"/>
        </w:rPr>
        <w:t>i</w:t>
      </w:r>
      <w:r w:rsidRPr="00C2757C">
        <w:rPr>
          <w:rFonts w:ascii="Times New Roman" w:hAnsi="Times New Roman"/>
          <w:b/>
          <w:sz w:val="24"/>
          <w:szCs w:val="24"/>
        </w:rPr>
        <w:t xml:space="preserve"> függővé</w:t>
      </w:r>
      <w:r w:rsidRPr="00C2757C">
        <w:rPr>
          <w:rFonts w:ascii="Times New Roman" w:hAnsi="Times New Roman"/>
          <w:sz w:val="24"/>
          <w:szCs w:val="24"/>
        </w:rPr>
        <w:t>.</w:t>
      </w:r>
      <w:r w:rsidRPr="00C2757C">
        <w:rPr>
          <w:rFonts w:ascii="Times New Roman" w:hAnsi="Times New Roman"/>
          <w:sz w:val="24"/>
          <w:szCs w:val="24"/>
          <w:vertAlign w:val="superscript"/>
        </w:rPr>
        <w:footnoteReference w:id="15"/>
      </w:r>
    </w:p>
    <w:p w:rsidR="000F66EF" w:rsidRPr="00C2757C" w:rsidRDefault="000F66EF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757C" w:rsidRDefault="00C2757C" w:rsidP="00C275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2757C">
        <w:rPr>
          <w:rFonts w:ascii="Times New Roman" w:hAnsi="Times New Roman"/>
          <w:b/>
          <w:sz w:val="24"/>
          <w:szCs w:val="24"/>
        </w:rPr>
        <w:t xml:space="preserve">Abban az esetben, ha az összekapcsolási szolgáltatás független lenne a közlekedési tevékenységtől, a szolgáltatás a 2000/31 irányelv hatálya alá tartozna </w:t>
      </w:r>
      <w:r w:rsidRPr="00C2757C">
        <w:rPr>
          <w:rFonts w:ascii="Times New Roman" w:hAnsi="Times New Roman"/>
          <w:sz w:val="24"/>
          <w:szCs w:val="24"/>
        </w:rPr>
        <w:t xml:space="preserve">és a szolgáltatási irányelv 3. cikke alapján </w:t>
      </w:r>
      <w:r w:rsidRPr="00C2757C">
        <w:rPr>
          <w:rFonts w:ascii="Times New Roman" w:hAnsi="Times New Roman"/>
          <w:b/>
          <w:sz w:val="24"/>
          <w:szCs w:val="24"/>
        </w:rPr>
        <w:t>nem tartozna a 2006/123 irányelv hatálya alá, mivel az elektronikus kereskedelemről szóló irányelv speciális szabály a szolgáltatási irányelvhez képest.</w:t>
      </w:r>
      <w:r w:rsidRPr="00C2757C">
        <w:rPr>
          <w:rFonts w:ascii="Times New Roman" w:hAnsi="Times New Roman"/>
          <w:b/>
          <w:sz w:val="24"/>
          <w:szCs w:val="24"/>
          <w:vertAlign w:val="superscript"/>
        </w:rPr>
        <w:footnoteReference w:id="16"/>
      </w:r>
    </w:p>
    <w:p w:rsidR="000F66EF" w:rsidRPr="00C2757C" w:rsidRDefault="000F66EF" w:rsidP="00C275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757C" w:rsidRDefault="00C2757C" w:rsidP="00C275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2757C">
        <w:rPr>
          <w:rFonts w:ascii="Times New Roman" w:hAnsi="Times New Roman"/>
          <w:b/>
          <w:sz w:val="24"/>
          <w:szCs w:val="24"/>
        </w:rPr>
        <w:t>II.</w:t>
      </w:r>
      <w:r w:rsidRPr="00C2757C">
        <w:rPr>
          <w:rFonts w:ascii="Times New Roman" w:hAnsi="Times New Roman"/>
          <w:b/>
          <w:sz w:val="24"/>
          <w:szCs w:val="24"/>
        </w:rPr>
        <w:tab/>
        <w:t>Magyar szabályozás</w:t>
      </w:r>
    </w:p>
    <w:p w:rsidR="000F66EF" w:rsidRPr="00C2757C" w:rsidRDefault="000F66EF" w:rsidP="00C275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757C" w:rsidRDefault="00C2757C" w:rsidP="00C275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2757C">
        <w:rPr>
          <w:rFonts w:ascii="Times New Roman" w:hAnsi="Times New Roman"/>
          <w:b/>
          <w:sz w:val="24"/>
          <w:szCs w:val="24"/>
        </w:rPr>
        <w:t>A)</w:t>
      </w:r>
      <w:r w:rsidRPr="00C2757C">
        <w:rPr>
          <w:rFonts w:ascii="Times New Roman" w:hAnsi="Times New Roman"/>
          <w:b/>
          <w:sz w:val="24"/>
          <w:szCs w:val="24"/>
        </w:rPr>
        <w:tab/>
        <w:t xml:space="preserve">Önálló diszpécserszolgálat </w:t>
      </w:r>
    </w:p>
    <w:p w:rsidR="000F66EF" w:rsidRPr="00C2757C" w:rsidRDefault="000F66EF" w:rsidP="00C275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757C" w:rsidRDefault="00C2757C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757C">
        <w:rPr>
          <w:rFonts w:ascii="Times New Roman" w:hAnsi="Times New Roman"/>
          <w:sz w:val="24"/>
          <w:szCs w:val="24"/>
        </w:rPr>
        <w:t xml:space="preserve">A személygépkocsival díj ellenében végzett közúti személyszállításról szóló </w:t>
      </w:r>
      <w:r w:rsidRPr="00C2757C">
        <w:rPr>
          <w:rFonts w:ascii="Times New Roman" w:hAnsi="Times New Roman"/>
          <w:b/>
          <w:sz w:val="24"/>
          <w:szCs w:val="24"/>
        </w:rPr>
        <w:t>176/2015.</w:t>
      </w:r>
      <w:r w:rsidRPr="00C2757C">
        <w:rPr>
          <w:rFonts w:ascii="Times New Roman" w:hAnsi="Times New Roman"/>
          <w:sz w:val="24"/>
          <w:szCs w:val="24"/>
        </w:rPr>
        <w:t xml:space="preserve"> (VII. 7.) </w:t>
      </w:r>
      <w:r w:rsidRPr="00C2757C">
        <w:rPr>
          <w:rFonts w:ascii="Times New Roman" w:hAnsi="Times New Roman"/>
          <w:b/>
          <w:sz w:val="24"/>
          <w:szCs w:val="24"/>
        </w:rPr>
        <w:t>Korm. rendelet</w:t>
      </w:r>
      <w:r w:rsidRPr="00C2757C">
        <w:rPr>
          <w:rFonts w:ascii="Times New Roman" w:hAnsi="Times New Roman"/>
          <w:sz w:val="24"/>
          <w:szCs w:val="24"/>
        </w:rPr>
        <w:t xml:space="preserve"> (a továbbiakban: Korm. rendelet) az </w:t>
      </w:r>
      <w:r w:rsidRPr="00C2757C">
        <w:rPr>
          <w:rFonts w:ascii="Times New Roman" w:hAnsi="Times New Roman"/>
          <w:b/>
          <w:sz w:val="24"/>
          <w:szCs w:val="24"/>
        </w:rPr>
        <w:t>önálló diszpécserszolgáltatás</w:t>
      </w:r>
      <w:r w:rsidRPr="00C2757C">
        <w:rPr>
          <w:rFonts w:ascii="Times New Roman" w:hAnsi="Times New Roman"/>
          <w:sz w:val="24"/>
          <w:szCs w:val="24"/>
        </w:rPr>
        <w:t xml:space="preserve"> bevezetésével egy olyan szolgáltatástípust kívánt bevezetni, amely nem minősül sem információs társadalommal összefüggő szolgáltatásnak, sem pedig közlekedés területén nyújtott szolgáltatásnak, hanem harmadik típusú szolgáltatásként a szolgáltatási irányelv hatálya alá tarto</w:t>
      </w:r>
      <w:r w:rsidR="000F66EF">
        <w:rPr>
          <w:rFonts w:ascii="Times New Roman" w:hAnsi="Times New Roman"/>
          <w:sz w:val="24"/>
          <w:szCs w:val="24"/>
        </w:rPr>
        <w:t>zik.</w:t>
      </w:r>
    </w:p>
    <w:p w:rsidR="000F66EF" w:rsidRPr="00C2757C" w:rsidRDefault="000F66EF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757C" w:rsidRDefault="00C2757C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757C">
        <w:rPr>
          <w:rFonts w:ascii="Times New Roman" w:hAnsi="Times New Roman"/>
          <w:sz w:val="24"/>
          <w:szCs w:val="24"/>
        </w:rPr>
        <w:t>A Korm. rendelet 16. §</w:t>
      </w:r>
      <w:proofErr w:type="spellStart"/>
      <w:r w:rsidRPr="00C2757C">
        <w:rPr>
          <w:rFonts w:ascii="Times New Roman" w:hAnsi="Times New Roman"/>
          <w:sz w:val="24"/>
          <w:szCs w:val="24"/>
        </w:rPr>
        <w:t>-</w:t>
      </w:r>
      <w:proofErr w:type="gramStart"/>
      <w:r w:rsidRPr="00C2757C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Pr="00C2757C">
        <w:rPr>
          <w:rFonts w:ascii="Times New Roman" w:hAnsi="Times New Roman"/>
          <w:sz w:val="24"/>
          <w:szCs w:val="24"/>
        </w:rPr>
        <w:t xml:space="preserve"> a diszpécserszolgáltatás (16. §), míg 17. §</w:t>
      </w:r>
      <w:proofErr w:type="spellStart"/>
      <w:r w:rsidRPr="00C2757C">
        <w:rPr>
          <w:rFonts w:ascii="Times New Roman" w:hAnsi="Times New Roman"/>
          <w:sz w:val="24"/>
          <w:szCs w:val="24"/>
        </w:rPr>
        <w:t>-</w:t>
      </w:r>
      <w:proofErr w:type="gramStart"/>
      <w:r w:rsidRPr="00C2757C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Pr="00C2757C">
        <w:rPr>
          <w:rFonts w:ascii="Times New Roman" w:hAnsi="Times New Roman"/>
          <w:sz w:val="24"/>
          <w:szCs w:val="24"/>
        </w:rPr>
        <w:t xml:space="preserve"> az önálló diszpécserszolgáltatás (17. §) részletszabályait állapítja meg. A Korm. rendelet 2. §</w:t>
      </w:r>
      <w:proofErr w:type="spellStart"/>
      <w:r w:rsidRPr="00C2757C">
        <w:rPr>
          <w:rFonts w:ascii="Times New Roman" w:hAnsi="Times New Roman"/>
          <w:sz w:val="24"/>
          <w:szCs w:val="24"/>
        </w:rPr>
        <w:t>-</w:t>
      </w:r>
      <w:proofErr w:type="gramStart"/>
      <w:r w:rsidRPr="00C2757C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Pr="00C2757C">
        <w:rPr>
          <w:rFonts w:ascii="Times New Roman" w:hAnsi="Times New Roman"/>
          <w:sz w:val="24"/>
          <w:szCs w:val="24"/>
        </w:rPr>
        <w:t xml:space="preserve"> a következőkként határozza meg a fogalmakat, e szerint:</w:t>
      </w:r>
    </w:p>
    <w:p w:rsidR="000F66EF" w:rsidRPr="00C2757C" w:rsidRDefault="000F66EF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757C" w:rsidRPr="00C2757C" w:rsidRDefault="00C2757C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757C">
        <w:rPr>
          <w:rFonts w:ascii="Times New Roman" w:hAnsi="Times New Roman"/>
          <w:sz w:val="24"/>
          <w:szCs w:val="24"/>
        </w:rPr>
        <w:t xml:space="preserve">1. </w:t>
      </w:r>
      <w:r w:rsidRPr="00C2757C">
        <w:rPr>
          <w:rFonts w:ascii="Times New Roman" w:hAnsi="Times New Roman"/>
          <w:i/>
          <w:sz w:val="24"/>
          <w:szCs w:val="24"/>
        </w:rPr>
        <w:t>diszpécserszolgálat</w:t>
      </w:r>
      <w:r w:rsidRPr="00C2757C">
        <w:rPr>
          <w:rFonts w:ascii="Times New Roman" w:hAnsi="Times New Roman"/>
          <w:sz w:val="24"/>
          <w:szCs w:val="24"/>
        </w:rPr>
        <w:t xml:space="preserve">: személyszállító szolgáltatási feladatot </w:t>
      </w:r>
      <w:r w:rsidR="000F66EF">
        <w:rPr>
          <w:rFonts w:ascii="Times New Roman" w:hAnsi="Times New Roman"/>
          <w:sz w:val="24"/>
          <w:szCs w:val="24"/>
        </w:rPr>
        <w:t>–</w:t>
      </w:r>
      <w:r w:rsidRPr="00C2757C">
        <w:rPr>
          <w:rFonts w:ascii="Times New Roman" w:hAnsi="Times New Roman"/>
          <w:sz w:val="24"/>
          <w:szCs w:val="24"/>
        </w:rPr>
        <w:t xml:space="preserve"> közvetlenül vagy közvetve, számítástechnikai alkalmazások közbeiktatásával, ellenérték fejében vagy ingyenesen </w:t>
      </w:r>
      <w:r w:rsidR="000F66EF">
        <w:rPr>
          <w:rFonts w:ascii="Times New Roman" w:hAnsi="Times New Roman"/>
          <w:sz w:val="24"/>
          <w:szCs w:val="24"/>
        </w:rPr>
        <w:t>–</w:t>
      </w:r>
      <w:r w:rsidRPr="00C2757C">
        <w:rPr>
          <w:rFonts w:ascii="Times New Roman" w:hAnsi="Times New Roman"/>
          <w:sz w:val="24"/>
          <w:szCs w:val="24"/>
        </w:rPr>
        <w:t xml:space="preserve"> közvetítő vagy szervező szolgálat;</w:t>
      </w:r>
    </w:p>
    <w:p w:rsidR="00C2757C" w:rsidRPr="00C2757C" w:rsidRDefault="00C2757C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757C">
        <w:rPr>
          <w:rFonts w:ascii="Times New Roman" w:hAnsi="Times New Roman"/>
          <w:sz w:val="24"/>
          <w:szCs w:val="24"/>
        </w:rPr>
        <w:t xml:space="preserve">2. </w:t>
      </w:r>
      <w:r w:rsidRPr="00C2757C">
        <w:rPr>
          <w:rFonts w:ascii="Times New Roman" w:hAnsi="Times New Roman"/>
          <w:i/>
          <w:sz w:val="24"/>
          <w:szCs w:val="24"/>
        </w:rPr>
        <w:t>önálló diszpécserszolgálat</w:t>
      </w:r>
      <w:r w:rsidRPr="00C2757C">
        <w:rPr>
          <w:rFonts w:ascii="Times New Roman" w:hAnsi="Times New Roman"/>
          <w:sz w:val="24"/>
          <w:szCs w:val="24"/>
        </w:rPr>
        <w:t>: olyan diszpécserszolgálat, amely nem végez személyszállítási szolgáltatást.</w:t>
      </w:r>
    </w:p>
    <w:p w:rsidR="00C2757C" w:rsidRPr="00C2757C" w:rsidRDefault="00C2757C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757C" w:rsidRDefault="00C2757C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757C">
        <w:rPr>
          <w:rFonts w:ascii="Times New Roman" w:hAnsi="Times New Roman"/>
          <w:b/>
          <w:sz w:val="24"/>
          <w:szCs w:val="24"/>
        </w:rPr>
        <w:t xml:space="preserve">A jogalkotó az önálló diszpécserszolgálat engedélyhez kötésével kívánta az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tevékenységét szabályozott mederbe terelni és</w:t>
      </w:r>
      <w:r w:rsidRPr="00C2757C">
        <w:rPr>
          <w:rFonts w:ascii="Times New Roman" w:hAnsi="Times New Roman"/>
          <w:sz w:val="24"/>
          <w:szCs w:val="24"/>
        </w:rPr>
        <w:t xml:space="preserve"> hasonlóan a személyszállítási szolgáltatáshoz – amelynek keretében működik a nem önálló diszpécserszolgálat – </w:t>
      </w:r>
      <w:r w:rsidRPr="00C2757C">
        <w:rPr>
          <w:rFonts w:ascii="Times New Roman" w:hAnsi="Times New Roman"/>
          <w:b/>
          <w:sz w:val="24"/>
          <w:szCs w:val="24"/>
        </w:rPr>
        <w:t>engedélyhez kötni</w:t>
      </w:r>
      <w:r w:rsidRPr="00C2757C">
        <w:rPr>
          <w:rFonts w:ascii="Times New Roman" w:hAnsi="Times New Roman"/>
          <w:sz w:val="24"/>
          <w:szCs w:val="24"/>
        </w:rPr>
        <w:t xml:space="preserve">, figyelemmel arra, hogy az </w:t>
      </w:r>
      <w:proofErr w:type="spellStart"/>
      <w:r w:rsidRPr="00C2757C">
        <w:rPr>
          <w:rFonts w:ascii="Times New Roman" w:hAnsi="Times New Roman"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sz w:val="24"/>
          <w:szCs w:val="24"/>
        </w:rPr>
        <w:t xml:space="preserve"> mindig is azzal védekezett, hogy tevékenysége azért nem köthető engedélyhez, mert nem személyszállítási szolgáltatást, hanem csak közvetítést végez</w:t>
      </w:r>
      <w:r w:rsidR="000F66EF">
        <w:rPr>
          <w:rFonts w:ascii="Times New Roman" w:hAnsi="Times New Roman"/>
          <w:sz w:val="24"/>
          <w:szCs w:val="24"/>
        </w:rPr>
        <w:t xml:space="preserve"> az utasok és a sofőrök között.</w:t>
      </w:r>
    </w:p>
    <w:p w:rsidR="000F66EF" w:rsidRPr="00C2757C" w:rsidRDefault="000F66EF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757C" w:rsidRDefault="00C2757C" w:rsidP="00C275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2757C">
        <w:rPr>
          <w:rFonts w:ascii="Times New Roman" w:hAnsi="Times New Roman"/>
          <w:sz w:val="24"/>
          <w:szCs w:val="24"/>
        </w:rPr>
        <w:t xml:space="preserve">Az önálló diszpécserszolgálati tevékenységet a jogalkotó </w:t>
      </w:r>
      <w:r w:rsidRPr="00C2757C">
        <w:rPr>
          <w:rFonts w:ascii="Times New Roman" w:hAnsi="Times New Roman"/>
          <w:b/>
          <w:sz w:val="24"/>
          <w:szCs w:val="24"/>
        </w:rPr>
        <w:t>a szolgáltatási irányelv hatálya alá tartozó tevékenységnek tekintette</w:t>
      </w:r>
      <w:r w:rsidRPr="00C2757C">
        <w:rPr>
          <w:rFonts w:ascii="Times New Roman" w:hAnsi="Times New Roman"/>
          <w:sz w:val="24"/>
          <w:szCs w:val="24"/>
        </w:rPr>
        <w:t xml:space="preserve"> és ennek megfelelően az engedélyezésre és a honlap működtetésére vonatkozó kötelezettséget</w:t>
      </w:r>
      <w:r w:rsidR="005009FB">
        <w:rPr>
          <w:rFonts w:ascii="Times New Roman" w:hAnsi="Times New Roman"/>
          <w:sz w:val="24"/>
          <w:szCs w:val="24"/>
        </w:rPr>
        <w:t>, mint mind a letelepedett, mind</w:t>
      </w:r>
      <w:r w:rsidRPr="00C2757C">
        <w:rPr>
          <w:rFonts w:ascii="Times New Roman" w:hAnsi="Times New Roman"/>
          <w:sz w:val="24"/>
          <w:szCs w:val="24"/>
        </w:rPr>
        <w:t xml:space="preserve"> pedig a határon átnyúló szolgáltatást végző szolgáltatók szolgáltatásnyújtását korlátozó követelményt </w:t>
      </w:r>
      <w:r w:rsidRPr="00C2757C">
        <w:rPr>
          <w:rFonts w:ascii="Times New Roman" w:hAnsi="Times New Roman"/>
          <w:b/>
          <w:sz w:val="24"/>
          <w:szCs w:val="24"/>
        </w:rPr>
        <w:t xml:space="preserve">szolgáltatási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notifikáció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keretében 2015-ben bejelentettük az Európai Bizottság részére.</w:t>
      </w:r>
    </w:p>
    <w:p w:rsidR="000F66EF" w:rsidRPr="00C2757C" w:rsidRDefault="000F66EF" w:rsidP="00C275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757C" w:rsidRDefault="00C2757C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757C">
        <w:rPr>
          <w:rFonts w:ascii="Times New Roman" w:hAnsi="Times New Roman"/>
          <w:sz w:val="24"/>
          <w:szCs w:val="24"/>
        </w:rPr>
        <w:t xml:space="preserve">A Bizottság nem sokkal a véleményezési határidő lejárta előtt több észrevételt tett és kifogást intézett, többek között hiányolta a műszaki </w:t>
      </w:r>
      <w:proofErr w:type="spellStart"/>
      <w:r w:rsidRPr="00C2757C">
        <w:rPr>
          <w:rFonts w:ascii="Times New Roman" w:hAnsi="Times New Roman"/>
          <w:sz w:val="24"/>
          <w:szCs w:val="24"/>
        </w:rPr>
        <w:t>notifikációs</w:t>
      </w:r>
      <w:proofErr w:type="spellEnd"/>
      <w:r w:rsidRPr="00C2757C">
        <w:rPr>
          <w:rFonts w:ascii="Times New Roman" w:hAnsi="Times New Roman"/>
          <w:sz w:val="24"/>
          <w:szCs w:val="24"/>
        </w:rPr>
        <w:t xml:space="preserve"> (információs társadalmi szolgáltatások) bejelentést, a </w:t>
      </w:r>
      <w:r w:rsidR="005009FB">
        <w:rPr>
          <w:rFonts w:ascii="Times New Roman" w:hAnsi="Times New Roman"/>
          <w:sz w:val="24"/>
          <w:szCs w:val="24"/>
        </w:rPr>
        <w:t>Korm. rendeleti szabályozásnak a</w:t>
      </w:r>
      <w:r w:rsidRPr="00C2757C">
        <w:rPr>
          <w:rFonts w:ascii="Times New Roman" w:hAnsi="Times New Roman"/>
          <w:sz w:val="24"/>
          <w:szCs w:val="24"/>
        </w:rPr>
        <w:t>z e-kereskedelmi irányelvvel való összefüggéseit (szükségesség/arányosság) feszegette, továbbá kifogásolta a szigorú szakmai alkalmassági feltételeket és a vagyoni biztosítékadási kötelezettséget (ld. 17. § (4) bekezdés).</w:t>
      </w:r>
    </w:p>
    <w:p w:rsidR="000F66EF" w:rsidRPr="00C2757C" w:rsidRDefault="000F66EF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757C" w:rsidRDefault="00C2757C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757C">
        <w:rPr>
          <w:rFonts w:ascii="Times New Roman" w:hAnsi="Times New Roman"/>
          <w:sz w:val="24"/>
          <w:szCs w:val="24"/>
        </w:rPr>
        <w:t xml:space="preserve">A </w:t>
      </w:r>
      <w:r w:rsidRPr="00C2757C">
        <w:rPr>
          <w:rFonts w:ascii="Times New Roman" w:hAnsi="Times New Roman"/>
          <w:b/>
          <w:sz w:val="24"/>
          <w:szCs w:val="24"/>
        </w:rPr>
        <w:t>szaktárcának</w:t>
      </w:r>
      <w:r w:rsidRPr="00C2757C">
        <w:rPr>
          <w:rFonts w:ascii="Times New Roman" w:hAnsi="Times New Roman"/>
          <w:sz w:val="24"/>
          <w:szCs w:val="24"/>
        </w:rPr>
        <w:t xml:space="preserve"> (NFM) </w:t>
      </w:r>
      <w:r w:rsidRPr="00C2757C">
        <w:rPr>
          <w:rFonts w:ascii="Times New Roman" w:hAnsi="Times New Roman"/>
          <w:b/>
          <w:sz w:val="24"/>
          <w:szCs w:val="24"/>
        </w:rPr>
        <w:t>nem sikerült olyan meggyőző válaszokat kidolgoznia</w:t>
      </w:r>
      <w:r w:rsidRPr="00C2757C">
        <w:rPr>
          <w:rFonts w:ascii="Times New Roman" w:hAnsi="Times New Roman"/>
          <w:sz w:val="24"/>
          <w:szCs w:val="24"/>
        </w:rPr>
        <w:t>, amelyek jogi megalapozásul szolgálhattak volna a Bizottság felvetés</w:t>
      </w:r>
      <w:r w:rsidR="005009FB">
        <w:rPr>
          <w:rFonts w:ascii="Times New Roman" w:hAnsi="Times New Roman"/>
          <w:sz w:val="24"/>
          <w:szCs w:val="24"/>
        </w:rPr>
        <w:t>e</w:t>
      </w:r>
      <w:r w:rsidRPr="00C2757C">
        <w:rPr>
          <w:rFonts w:ascii="Times New Roman" w:hAnsi="Times New Roman"/>
          <w:sz w:val="24"/>
          <w:szCs w:val="24"/>
        </w:rPr>
        <w:t xml:space="preserve">ire, aggályainak esetleges eloszlatására, illetve alkalmasak lettek volna a </w:t>
      </w:r>
      <w:proofErr w:type="spellStart"/>
      <w:r w:rsidRPr="00C2757C">
        <w:rPr>
          <w:rFonts w:ascii="Times New Roman" w:hAnsi="Times New Roman"/>
          <w:sz w:val="24"/>
          <w:szCs w:val="24"/>
        </w:rPr>
        <w:t>notifikációs</w:t>
      </w:r>
      <w:proofErr w:type="spellEnd"/>
      <w:r w:rsidRPr="00C2757C">
        <w:rPr>
          <w:rFonts w:ascii="Times New Roman" w:hAnsi="Times New Roman"/>
          <w:sz w:val="24"/>
          <w:szCs w:val="24"/>
        </w:rPr>
        <w:t xml:space="preserve"> eljárás keretében történő megküldésre. Ezért a </w:t>
      </w:r>
      <w:r w:rsidRPr="00C2757C">
        <w:rPr>
          <w:rFonts w:ascii="Times New Roman" w:hAnsi="Times New Roman"/>
          <w:b/>
          <w:sz w:val="24"/>
          <w:szCs w:val="24"/>
        </w:rPr>
        <w:t xml:space="preserve">Szolgáltatási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Notifikációs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Központ jobb</w:t>
      </w:r>
      <w:r w:rsidR="005009FB">
        <w:rPr>
          <w:rFonts w:ascii="Times New Roman" w:hAnsi="Times New Roman"/>
          <w:b/>
          <w:sz w:val="24"/>
          <w:szCs w:val="24"/>
        </w:rPr>
        <w:t>n</w:t>
      </w:r>
      <w:r w:rsidRPr="00C2757C">
        <w:rPr>
          <w:rFonts w:ascii="Times New Roman" w:hAnsi="Times New Roman"/>
          <w:b/>
          <w:sz w:val="24"/>
          <w:szCs w:val="24"/>
        </w:rPr>
        <w:t>ak látta, ha magyar részről arról értesíti a Bizottságot, hogy a határidő rövidsége miatt az érdemi válaszadásra nincs lehetőség</w:t>
      </w:r>
      <w:r w:rsidRPr="00C2757C">
        <w:rPr>
          <w:rFonts w:ascii="Times New Roman" w:hAnsi="Times New Roman"/>
          <w:sz w:val="24"/>
          <w:szCs w:val="24"/>
        </w:rPr>
        <w:t xml:space="preserve">. Ezt </w:t>
      </w:r>
      <w:r w:rsidRPr="00C2757C">
        <w:rPr>
          <w:rFonts w:ascii="Times New Roman" w:hAnsi="Times New Roman"/>
          <w:sz w:val="24"/>
          <w:szCs w:val="24"/>
        </w:rPr>
        <w:lastRenderedPageBreak/>
        <w:t xml:space="preserve">követően azonban </w:t>
      </w:r>
      <w:r w:rsidRPr="00C2757C">
        <w:rPr>
          <w:rFonts w:ascii="Times New Roman" w:hAnsi="Times New Roman"/>
          <w:b/>
          <w:sz w:val="24"/>
          <w:szCs w:val="24"/>
        </w:rPr>
        <w:t>az NFM kezdeményezte a Korm. rendelet módosítását</w:t>
      </w:r>
      <w:r w:rsidRPr="00C2757C">
        <w:rPr>
          <w:rFonts w:ascii="Times New Roman" w:hAnsi="Times New Roman"/>
          <w:sz w:val="24"/>
          <w:szCs w:val="24"/>
        </w:rPr>
        <w:t>, amelynek következtében a módosított és hatályos Korm. rendelet a Bizottsá</w:t>
      </w:r>
      <w:r w:rsidR="005009FB">
        <w:rPr>
          <w:rFonts w:ascii="Times New Roman" w:hAnsi="Times New Roman"/>
          <w:sz w:val="24"/>
          <w:szCs w:val="24"/>
        </w:rPr>
        <w:t>g észrevételeit részben kezeli.</w:t>
      </w:r>
    </w:p>
    <w:p w:rsidR="005009FB" w:rsidRPr="00C2757C" w:rsidRDefault="005009FB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757C" w:rsidRDefault="00C2757C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757C">
        <w:rPr>
          <w:rFonts w:ascii="Times New Roman" w:hAnsi="Times New Roman"/>
          <w:sz w:val="24"/>
          <w:szCs w:val="24"/>
        </w:rPr>
        <w:t>A hatályos szabályozás alapján az önálló diszpécserszolgálati tevékenység továbbra is a közlekedési hatóság engedélyéhez kötött, az engedélyezés feltételei a következők: személyes megbízhatósági és szakmai alkalmassági feltételeik; pénzügyi teljesítőképesség, vagyoni biztosíték igazolása.</w:t>
      </w:r>
    </w:p>
    <w:p w:rsidR="005009FB" w:rsidRPr="00C2757C" w:rsidRDefault="005009FB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757C" w:rsidRDefault="00C2757C" w:rsidP="00C275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2757C">
        <w:rPr>
          <w:rFonts w:ascii="Times New Roman" w:hAnsi="Times New Roman"/>
          <w:b/>
          <w:sz w:val="24"/>
          <w:szCs w:val="24"/>
        </w:rPr>
        <w:t xml:space="preserve">A Korm. rendelet alapján annak, aki az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mint önálló diszpécserszolgáltató igénybevételével nyújt üzletszerű személyszállítási tevékenységet, ugyanazon feltételeknek kell megfelelnie, mint bármely más szolgáltatónak, aki a klasszikus értelemben vett taxis tevékenységet folytatja.</w:t>
      </w:r>
    </w:p>
    <w:p w:rsidR="005009FB" w:rsidRPr="00C2757C" w:rsidRDefault="005009FB" w:rsidP="00C275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757C" w:rsidRDefault="00C2757C" w:rsidP="00C275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2757C">
        <w:rPr>
          <w:rFonts w:ascii="Times New Roman" w:hAnsi="Times New Roman"/>
          <w:b/>
          <w:sz w:val="24"/>
          <w:szCs w:val="24"/>
        </w:rPr>
        <w:t>B)</w:t>
      </w:r>
      <w:r w:rsidRPr="00C2757C">
        <w:rPr>
          <w:rFonts w:ascii="Times New Roman" w:hAnsi="Times New Roman"/>
          <w:b/>
          <w:sz w:val="24"/>
          <w:szCs w:val="24"/>
        </w:rPr>
        <w:tab/>
        <w:t>Elektronikus adat blokkolása</w:t>
      </w:r>
    </w:p>
    <w:p w:rsidR="005009FB" w:rsidRPr="00C2757C" w:rsidRDefault="005009FB" w:rsidP="00C275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757C" w:rsidRPr="00C2757C" w:rsidRDefault="00C2757C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757C">
        <w:rPr>
          <w:rFonts w:ascii="Times New Roman" w:hAnsi="Times New Roman"/>
          <w:sz w:val="24"/>
          <w:szCs w:val="24"/>
        </w:rPr>
        <w:t xml:space="preserve">A személyszállítási szolgáltatásokról </w:t>
      </w:r>
      <w:r w:rsidRPr="00C2757C">
        <w:rPr>
          <w:rFonts w:ascii="Times New Roman" w:hAnsi="Times New Roman"/>
          <w:b/>
          <w:sz w:val="24"/>
          <w:szCs w:val="24"/>
        </w:rPr>
        <w:t>szóló 2012. évi XLI. törvény 12/B. § (1) bekezdése</w:t>
      </w:r>
      <w:r w:rsidRPr="00C2757C">
        <w:rPr>
          <w:rFonts w:ascii="Times New Roman" w:hAnsi="Times New Roman"/>
          <w:sz w:val="24"/>
          <w:szCs w:val="24"/>
        </w:rPr>
        <w:t xml:space="preserve"> alapján </w:t>
      </w:r>
    </w:p>
    <w:p w:rsidR="00C2757C" w:rsidRPr="00C2757C" w:rsidRDefault="00C2757C" w:rsidP="00C2757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2757C">
        <w:rPr>
          <w:rFonts w:ascii="Times New Roman" w:hAnsi="Times New Roman"/>
          <w:sz w:val="24"/>
          <w:szCs w:val="24"/>
        </w:rPr>
        <w:t xml:space="preserve">12/B. § (1) </w:t>
      </w:r>
      <w:proofErr w:type="gramStart"/>
      <w:r w:rsidRPr="00C2757C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C2757C">
        <w:rPr>
          <w:rFonts w:ascii="Times New Roman" w:hAnsi="Times New Roman"/>
          <w:i/>
          <w:sz w:val="24"/>
          <w:szCs w:val="24"/>
        </w:rPr>
        <w:t xml:space="preserve"> közlekedési hatóság elrendeli </w:t>
      </w:r>
      <w:r w:rsidRPr="00C2757C">
        <w:rPr>
          <w:rFonts w:ascii="Times New Roman" w:hAnsi="Times New Roman"/>
          <w:b/>
          <w:i/>
          <w:sz w:val="24"/>
          <w:szCs w:val="24"/>
        </w:rPr>
        <w:t>az ideiglenes hozzáférhetetlenné tételét</w:t>
      </w:r>
      <w:r w:rsidRPr="00C2757C">
        <w:rPr>
          <w:rFonts w:ascii="Times New Roman" w:hAnsi="Times New Roman"/>
          <w:i/>
          <w:sz w:val="24"/>
          <w:szCs w:val="24"/>
        </w:rPr>
        <w:t xml:space="preserve"> annak az elektronikus hírközlő hálózat útján közzétett adatnak (elektronikus adat), amelynek a szolgáltatás működtetője által hozzáférhetővé tétele olyan üzletszerűen végzett személyszállítási szolgáltatást közvetítő vagy szervező szolgáltatás</w:t>
      </w:r>
    </w:p>
    <w:p w:rsidR="00C2757C" w:rsidRPr="00C2757C" w:rsidRDefault="00C2757C" w:rsidP="00C2757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2757C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C2757C">
        <w:rPr>
          <w:rFonts w:ascii="Times New Roman" w:hAnsi="Times New Roman"/>
          <w:i/>
          <w:sz w:val="24"/>
          <w:szCs w:val="24"/>
        </w:rPr>
        <w:t>) igénybevételét biztosítja vagy</w:t>
      </w:r>
    </w:p>
    <w:p w:rsidR="00C2757C" w:rsidRPr="00C2757C" w:rsidRDefault="00C2757C" w:rsidP="00C2757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2757C">
        <w:rPr>
          <w:rFonts w:ascii="Times New Roman" w:hAnsi="Times New Roman"/>
          <w:i/>
          <w:sz w:val="24"/>
          <w:szCs w:val="24"/>
        </w:rPr>
        <w:t>b) igénybevételéhez szükséges lépések bemutatásával közvetlenül népszerűsíti, elősegíti azt,</w:t>
      </w:r>
    </w:p>
    <w:p w:rsidR="00C2757C" w:rsidRPr="00C2757C" w:rsidRDefault="00C2757C" w:rsidP="00C2757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2757C">
        <w:rPr>
          <w:rFonts w:ascii="Times New Roman" w:hAnsi="Times New Roman"/>
          <w:i/>
          <w:sz w:val="24"/>
          <w:szCs w:val="24"/>
        </w:rPr>
        <w:t>amely</w:t>
      </w:r>
      <w:proofErr w:type="gramEnd"/>
      <w:r w:rsidRPr="00C2757C">
        <w:rPr>
          <w:rFonts w:ascii="Times New Roman" w:hAnsi="Times New Roman"/>
          <w:i/>
          <w:sz w:val="24"/>
          <w:szCs w:val="24"/>
        </w:rPr>
        <w:t xml:space="preserve"> nem felel meg a Kormány rendeletében meghatározott diszpécserszolgálati vagy önálló diszpécserszolgálati tevékenységre vonatkozóan megállapított követelményeknek.</w:t>
      </w:r>
    </w:p>
    <w:p w:rsidR="00C2757C" w:rsidRPr="00C2757C" w:rsidRDefault="00C2757C" w:rsidP="00C2757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2757C">
        <w:rPr>
          <w:rFonts w:ascii="Times New Roman" w:hAnsi="Times New Roman"/>
          <w:i/>
          <w:sz w:val="24"/>
          <w:szCs w:val="24"/>
        </w:rPr>
        <w:t>Az adat hozzáférhetetlenné tétele akkor rendelhető el, ha a diszpécserszolgálati engedély hiánya miatt az eljáró hatóság bírságot szabott ki és a megbírságolt az engedély nélküli tevékenységet tovább folytatja.</w:t>
      </w:r>
    </w:p>
    <w:p w:rsidR="00C2757C" w:rsidRPr="00C2757C" w:rsidRDefault="00C2757C" w:rsidP="00C2757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2757C">
        <w:rPr>
          <w:rFonts w:ascii="Times New Roman" w:hAnsi="Times New Roman"/>
          <w:i/>
          <w:sz w:val="24"/>
          <w:szCs w:val="24"/>
        </w:rPr>
        <w:t>Az ideiglenes hozzáférhetetlenné tétel (blokkolás) az elektronikus adathoz való hozzáférés ideiglenes (365 napra történő) megakadályozása.</w:t>
      </w:r>
    </w:p>
    <w:p w:rsidR="00C2757C" w:rsidRPr="00C2757C" w:rsidRDefault="00C2757C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757C" w:rsidRPr="00C2757C" w:rsidRDefault="00C2757C" w:rsidP="00C275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2757C">
        <w:rPr>
          <w:rFonts w:ascii="Times New Roman" w:hAnsi="Times New Roman"/>
          <w:sz w:val="24"/>
          <w:szCs w:val="24"/>
        </w:rPr>
        <w:t xml:space="preserve">A blokkolásra vonatkozó rendelkezés bevezetése kapcsán az IM észrevételezte, hogy a szabályozást </w:t>
      </w:r>
      <w:r w:rsidRPr="00C2757C">
        <w:rPr>
          <w:rFonts w:ascii="Times New Roman" w:hAnsi="Times New Roman"/>
          <w:b/>
          <w:sz w:val="24"/>
          <w:szCs w:val="24"/>
        </w:rPr>
        <w:t xml:space="preserve">műszaki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notifikáció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keretében be kell jelenteni a Bizottságnak</w:t>
      </w:r>
      <w:r w:rsidRPr="00C2757C">
        <w:rPr>
          <w:rFonts w:ascii="Times New Roman" w:hAnsi="Times New Roman"/>
          <w:sz w:val="24"/>
          <w:szCs w:val="24"/>
        </w:rPr>
        <w:t xml:space="preserve"> és a szabályozás elfogadására csak ezt követően kerülhet sor. </w:t>
      </w:r>
      <w:r w:rsidRPr="00C2757C">
        <w:rPr>
          <w:rFonts w:ascii="Times New Roman" w:hAnsi="Times New Roman"/>
          <w:b/>
          <w:sz w:val="24"/>
          <w:szCs w:val="24"/>
        </w:rPr>
        <w:t xml:space="preserve">A szabályozás azonban – műszaki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notifikáció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nélkül – 2016. július 24-én hatályba lépett.</w:t>
      </w:r>
    </w:p>
    <w:p w:rsidR="00C2757C" w:rsidRPr="00C2757C" w:rsidRDefault="00C2757C" w:rsidP="00C275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757C" w:rsidRPr="00C2757C" w:rsidRDefault="00C2757C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757C">
        <w:rPr>
          <w:rFonts w:ascii="Times New Roman" w:hAnsi="Times New Roman"/>
          <w:sz w:val="24"/>
          <w:szCs w:val="24"/>
        </w:rPr>
        <w:t>A C</w:t>
      </w:r>
      <w:r w:rsidR="005009FB">
        <w:rPr>
          <w:rFonts w:ascii="Times New Roman" w:hAnsi="Times New Roman"/>
          <w:sz w:val="24"/>
          <w:szCs w:val="24"/>
        </w:rPr>
        <w:t>-</w:t>
      </w:r>
      <w:r w:rsidRPr="00C2757C">
        <w:rPr>
          <w:rFonts w:ascii="Times New Roman" w:hAnsi="Times New Roman"/>
          <w:sz w:val="24"/>
          <w:szCs w:val="24"/>
        </w:rPr>
        <w:t xml:space="preserve">434/15. számú ügyben a főtanácsnok kiemelte, hogy </w:t>
      </w:r>
      <w:r w:rsidRPr="00C2757C">
        <w:rPr>
          <w:rFonts w:ascii="Times New Roman" w:hAnsi="Times New Roman"/>
          <w:b/>
          <w:sz w:val="24"/>
          <w:szCs w:val="24"/>
        </w:rPr>
        <w:t xml:space="preserve">az alapeljárásban nem volt szó az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alkalmazás blokkolásáról vagy más módon történő működésképtelenné tételéről</w:t>
      </w:r>
      <w:r w:rsidRPr="00C2757C">
        <w:rPr>
          <w:rFonts w:ascii="Times New Roman" w:hAnsi="Times New Roman"/>
          <w:sz w:val="24"/>
          <w:szCs w:val="24"/>
        </w:rPr>
        <w:t xml:space="preserve">. Az alapeljárásban </w:t>
      </w:r>
      <w:r w:rsidRPr="00C2757C">
        <w:rPr>
          <w:rFonts w:ascii="Times New Roman" w:hAnsi="Times New Roman"/>
          <w:b/>
          <w:sz w:val="24"/>
          <w:szCs w:val="24"/>
        </w:rPr>
        <w:t xml:space="preserve">kizárólag az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azon lehetőségéről van szó, hogy ezen alkalmazás segítségével nyújthatja-e az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UberPop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szolgáltatást</w:t>
      </w:r>
      <w:r w:rsidRPr="00C2757C">
        <w:rPr>
          <w:rFonts w:ascii="Times New Roman" w:hAnsi="Times New Roman"/>
          <w:sz w:val="24"/>
          <w:szCs w:val="24"/>
        </w:rPr>
        <w:t>.</w:t>
      </w:r>
      <w:r w:rsidRPr="00C2757C">
        <w:rPr>
          <w:rFonts w:ascii="Times New Roman" w:hAnsi="Times New Roman"/>
          <w:sz w:val="24"/>
          <w:szCs w:val="24"/>
          <w:vertAlign w:val="superscript"/>
        </w:rPr>
        <w:footnoteReference w:id="17"/>
      </w:r>
    </w:p>
    <w:p w:rsidR="00C2757C" w:rsidRPr="00C2757C" w:rsidRDefault="00C2757C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757C" w:rsidRPr="00C2757C" w:rsidRDefault="00C2757C" w:rsidP="00C275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2757C">
        <w:rPr>
          <w:rFonts w:ascii="Times New Roman" w:hAnsi="Times New Roman"/>
          <w:b/>
          <w:sz w:val="24"/>
          <w:szCs w:val="24"/>
        </w:rPr>
        <w:lastRenderedPageBreak/>
        <w:t xml:space="preserve">Ettől függetlenül, mivel a főtanácsnok az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Uber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szolgáltatását elsődlegesen közlekedési szolgáltatásnak és nem az információs társadalommal összefüggő szolgáltatásnak minősítette, amennyiben az EUB a későbbiekben osztja a főtanácsnok álláspontját</w:t>
      </w:r>
      <w:r w:rsidR="005009FB">
        <w:rPr>
          <w:rFonts w:ascii="Times New Roman" w:hAnsi="Times New Roman"/>
          <w:b/>
          <w:sz w:val="24"/>
          <w:szCs w:val="24"/>
        </w:rPr>
        <w:t xml:space="preserve"> – amely az </w:t>
      </w:r>
      <w:proofErr w:type="spellStart"/>
      <w:r w:rsidR="005009FB">
        <w:rPr>
          <w:rFonts w:ascii="Times New Roman" w:hAnsi="Times New Roman"/>
          <w:b/>
          <w:sz w:val="24"/>
          <w:szCs w:val="24"/>
        </w:rPr>
        <w:t>EUB-t</w:t>
      </w:r>
      <w:proofErr w:type="spellEnd"/>
      <w:r w:rsidR="005009FB">
        <w:rPr>
          <w:rFonts w:ascii="Times New Roman" w:hAnsi="Times New Roman"/>
          <w:b/>
          <w:sz w:val="24"/>
          <w:szCs w:val="24"/>
        </w:rPr>
        <w:t xml:space="preserve"> jogilag nem köti, tehát attól ítéletében eltérhet –</w:t>
      </w:r>
      <w:r w:rsidRPr="00C2757C">
        <w:rPr>
          <w:rFonts w:ascii="Times New Roman" w:hAnsi="Times New Roman"/>
          <w:b/>
          <w:sz w:val="24"/>
          <w:szCs w:val="24"/>
        </w:rPr>
        <w:t xml:space="preserve">, úgy a diszpécserszolgáltatásra vonatkozó engedélyezési rendszer uniós jogi szempontból nem igényel módosítást és a műszaki </w:t>
      </w:r>
      <w:proofErr w:type="spellStart"/>
      <w:r w:rsidRPr="00C2757C">
        <w:rPr>
          <w:rFonts w:ascii="Times New Roman" w:hAnsi="Times New Roman"/>
          <w:b/>
          <w:sz w:val="24"/>
          <w:szCs w:val="24"/>
        </w:rPr>
        <w:t>notifikáció</w:t>
      </w:r>
      <w:proofErr w:type="spellEnd"/>
      <w:r w:rsidRPr="00C2757C">
        <w:rPr>
          <w:rFonts w:ascii="Times New Roman" w:hAnsi="Times New Roman"/>
          <w:b/>
          <w:sz w:val="24"/>
          <w:szCs w:val="24"/>
        </w:rPr>
        <w:t xml:space="preserve"> elmaradása nem jelentheti az uniós jog sérelmét.</w:t>
      </w:r>
    </w:p>
    <w:p w:rsidR="00C2757C" w:rsidRPr="00C2757C" w:rsidRDefault="00C2757C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757C" w:rsidRDefault="00C2757C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757C">
        <w:rPr>
          <w:rFonts w:ascii="Times New Roman" w:hAnsi="Times New Roman"/>
          <w:sz w:val="24"/>
          <w:szCs w:val="24"/>
        </w:rPr>
        <w:t>Budapest, 2017. május 16.</w:t>
      </w:r>
    </w:p>
    <w:p w:rsidR="005009FB" w:rsidRDefault="005009FB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09FB" w:rsidRPr="00C2757C" w:rsidRDefault="005009FB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757C" w:rsidRPr="00C2757C" w:rsidRDefault="00C2757C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757C">
        <w:rPr>
          <w:rFonts w:ascii="Times New Roman" w:hAnsi="Times New Roman"/>
          <w:sz w:val="24"/>
          <w:szCs w:val="24"/>
        </w:rPr>
        <w:tab/>
      </w:r>
      <w:r w:rsidRPr="00C2757C">
        <w:rPr>
          <w:rFonts w:ascii="Times New Roman" w:hAnsi="Times New Roman"/>
          <w:sz w:val="24"/>
          <w:szCs w:val="24"/>
        </w:rPr>
        <w:tab/>
      </w:r>
      <w:r w:rsidRPr="00C2757C">
        <w:rPr>
          <w:rFonts w:ascii="Times New Roman" w:hAnsi="Times New Roman"/>
          <w:sz w:val="24"/>
          <w:szCs w:val="24"/>
        </w:rPr>
        <w:tab/>
      </w:r>
      <w:r w:rsidRPr="00C2757C">
        <w:rPr>
          <w:rFonts w:ascii="Times New Roman" w:hAnsi="Times New Roman"/>
          <w:sz w:val="24"/>
          <w:szCs w:val="24"/>
        </w:rPr>
        <w:tab/>
      </w:r>
      <w:r w:rsidRPr="00C2757C">
        <w:rPr>
          <w:rFonts w:ascii="Times New Roman" w:hAnsi="Times New Roman"/>
          <w:sz w:val="24"/>
          <w:szCs w:val="24"/>
        </w:rPr>
        <w:tab/>
      </w:r>
      <w:r w:rsidRPr="00C2757C">
        <w:rPr>
          <w:rFonts w:ascii="Times New Roman" w:hAnsi="Times New Roman"/>
          <w:sz w:val="24"/>
          <w:szCs w:val="24"/>
        </w:rPr>
        <w:tab/>
      </w:r>
    </w:p>
    <w:p w:rsidR="00C2757C" w:rsidRPr="00C2757C" w:rsidRDefault="005009FB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Kecsmár Krisztián</w:t>
      </w:r>
    </w:p>
    <w:p w:rsidR="00C2757C" w:rsidRPr="00C2757C" w:rsidRDefault="005009FB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államtitkár</w:t>
      </w:r>
      <w:proofErr w:type="gramEnd"/>
    </w:p>
    <w:p w:rsidR="00C2757C" w:rsidRPr="00C2757C" w:rsidRDefault="00C2757C" w:rsidP="00C275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757C" w:rsidRDefault="00C2757C" w:rsidP="00C2757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sectPr w:rsidR="00C2757C" w:rsidSect="00D77901">
      <w:footerReference w:type="default" r:id="rId10"/>
      <w:pgSz w:w="11906" w:h="16838" w:code="9"/>
      <w:pgMar w:top="1304" w:right="1304" w:bottom="187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299" w:rsidRDefault="00036299" w:rsidP="00273EE9">
      <w:pPr>
        <w:spacing w:after="0" w:line="240" w:lineRule="auto"/>
      </w:pPr>
      <w:r>
        <w:separator/>
      </w:r>
    </w:p>
  </w:endnote>
  <w:endnote w:type="continuationSeparator" w:id="0">
    <w:p w:rsidR="00036299" w:rsidRDefault="00036299" w:rsidP="0027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23" w:rsidRPr="000F502B" w:rsidRDefault="00A20B23" w:rsidP="000F502B">
    <w:pPr>
      <w:pStyle w:val="llb"/>
      <w:jc w:val="center"/>
      <w:rPr>
        <w:sz w:val="20"/>
        <w:szCs w:val="20"/>
      </w:rPr>
    </w:pPr>
    <w:r w:rsidRPr="000F502B">
      <w:rPr>
        <w:sz w:val="20"/>
        <w:szCs w:val="20"/>
      </w:rPr>
      <w:t>Postacím: 1357 Budapest, Pf. 2. Telefon: (06 1) 795-3417 E-mail: krisztian.kecsmar@im.gov.hu</w:t>
    </w:r>
  </w:p>
  <w:p w:rsidR="00A20B23" w:rsidRDefault="00F75F89" w:rsidP="00F75F89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D77B69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299" w:rsidRDefault="00036299" w:rsidP="00273EE9">
      <w:pPr>
        <w:spacing w:after="0" w:line="240" w:lineRule="auto"/>
      </w:pPr>
      <w:r>
        <w:separator/>
      </w:r>
    </w:p>
  </w:footnote>
  <w:footnote w:type="continuationSeparator" w:id="0">
    <w:p w:rsidR="00036299" w:rsidRDefault="00036299" w:rsidP="00273EE9">
      <w:pPr>
        <w:spacing w:after="0" w:line="240" w:lineRule="auto"/>
      </w:pPr>
      <w:r>
        <w:continuationSeparator/>
      </w:r>
    </w:p>
  </w:footnote>
  <w:footnote w:id="1">
    <w:p w:rsidR="00C2757C" w:rsidRDefault="00C2757C" w:rsidP="00B62BCA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A96B08">
        <w:rPr>
          <w:rFonts w:ascii="Times New Roman" w:hAnsi="Times New Roman"/>
        </w:rPr>
        <w:t>Az Európai Parlament és a Tanács 2000. június 8-i 2000/31/EK irányelve</w:t>
      </w:r>
      <w:r>
        <w:rPr>
          <w:rFonts w:ascii="Times New Roman" w:hAnsi="Times New Roman"/>
        </w:rPr>
        <w:t xml:space="preserve"> </w:t>
      </w:r>
      <w:r w:rsidRPr="00A96B08">
        <w:rPr>
          <w:rFonts w:ascii="Times New Roman" w:hAnsi="Times New Roman"/>
        </w:rPr>
        <w:t>a belső piacon az információs társadalommal összefüggő szolgáltatások, különösen az elektronikus kereskedelem, egyes jogi vonatkozásairól („Elektronikus kereskedelemről szóló irányelv”)</w:t>
      </w:r>
    </w:p>
  </w:footnote>
  <w:footnote w:id="2">
    <w:p w:rsidR="00C2757C" w:rsidRPr="00807E57" w:rsidRDefault="00C2757C" w:rsidP="00B62BCA">
      <w:pPr>
        <w:pStyle w:val="Lbjegyzetszveg"/>
        <w:jc w:val="both"/>
        <w:rPr>
          <w:rFonts w:ascii="Times New Roman" w:hAnsi="Times New Roman"/>
        </w:rPr>
      </w:pPr>
      <w:r>
        <w:rPr>
          <w:rStyle w:val="Lbjegyzet-hivatkozs"/>
        </w:rPr>
        <w:footnoteRef/>
      </w:r>
      <w:r>
        <w:t xml:space="preserve"> </w:t>
      </w:r>
      <w:r w:rsidRPr="00A96B08">
        <w:rPr>
          <w:rFonts w:ascii="Times New Roman" w:hAnsi="Times New Roman"/>
        </w:rPr>
        <w:t xml:space="preserve">Az Európai Parlament és a Tanács 2006. december 12-i 2006/123/EK irányelve </w:t>
      </w:r>
      <w:r w:rsidR="00B62BCA">
        <w:rPr>
          <w:rFonts w:ascii="Times New Roman" w:hAnsi="Times New Roman"/>
        </w:rPr>
        <w:t>a belső piaci szolgáltatásokról</w:t>
      </w:r>
    </w:p>
  </w:footnote>
  <w:footnote w:id="3">
    <w:p w:rsidR="00C2757C" w:rsidRPr="00A96B08" w:rsidRDefault="00C2757C" w:rsidP="00B62BCA">
      <w:pPr>
        <w:pStyle w:val="Lbjegyzetszveg"/>
        <w:jc w:val="both"/>
        <w:rPr>
          <w:rFonts w:ascii="Times New Roman" w:hAnsi="Times New Roman"/>
        </w:rPr>
      </w:pPr>
      <w:r w:rsidRPr="00A96B08">
        <w:rPr>
          <w:rStyle w:val="Lbjegyzet-hivatkozs"/>
          <w:rFonts w:ascii="Times New Roman" w:hAnsi="Times New Roman"/>
        </w:rPr>
        <w:footnoteRef/>
      </w:r>
      <w:r w:rsidRPr="00A96B08">
        <w:rPr>
          <w:rFonts w:ascii="Times New Roman" w:hAnsi="Times New Roman"/>
        </w:rPr>
        <w:t xml:space="preserve"> Indítvány 69.és 70. pont.</w:t>
      </w:r>
    </w:p>
  </w:footnote>
  <w:footnote w:id="4">
    <w:p w:rsidR="00C2757C" w:rsidRPr="00A96B08" w:rsidRDefault="00C2757C" w:rsidP="00B62BCA">
      <w:pPr>
        <w:pStyle w:val="Lbjegyzetszveg"/>
        <w:jc w:val="both"/>
        <w:rPr>
          <w:rFonts w:ascii="Times New Roman" w:hAnsi="Times New Roman"/>
        </w:rPr>
      </w:pPr>
      <w:r w:rsidRPr="00A96B08">
        <w:rPr>
          <w:rStyle w:val="Lbjegyzet-hivatkozs"/>
          <w:rFonts w:ascii="Times New Roman" w:hAnsi="Times New Roman"/>
        </w:rPr>
        <w:footnoteRef/>
      </w:r>
      <w:r w:rsidRPr="00A96B08">
        <w:rPr>
          <w:rFonts w:ascii="Times New Roman" w:hAnsi="Times New Roman"/>
        </w:rPr>
        <w:t xml:space="preserve"> Indítvány 19. pont.</w:t>
      </w:r>
    </w:p>
  </w:footnote>
  <w:footnote w:id="5">
    <w:p w:rsidR="00C2757C" w:rsidRPr="00A96B08" w:rsidRDefault="00C2757C" w:rsidP="00B62BCA">
      <w:pPr>
        <w:pStyle w:val="Lbjegyzetszveg"/>
        <w:jc w:val="both"/>
        <w:rPr>
          <w:rFonts w:ascii="Times New Roman" w:hAnsi="Times New Roman"/>
        </w:rPr>
      </w:pPr>
      <w:r w:rsidRPr="00A96B08">
        <w:rPr>
          <w:rStyle w:val="Lbjegyzet-hivatkozs"/>
          <w:rFonts w:ascii="Times New Roman" w:hAnsi="Times New Roman"/>
        </w:rPr>
        <w:footnoteRef/>
      </w:r>
      <w:r w:rsidRPr="00A96B08">
        <w:rPr>
          <w:rFonts w:ascii="Times New Roman" w:hAnsi="Times New Roman"/>
        </w:rPr>
        <w:t xml:space="preserve"> Az előzetes döntéshozatali kérelem 2015. augusztus 7-én érkezett az </w:t>
      </w:r>
      <w:proofErr w:type="spellStart"/>
      <w:r w:rsidRPr="00A96B08">
        <w:rPr>
          <w:rFonts w:ascii="Times New Roman" w:hAnsi="Times New Roman"/>
        </w:rPr>
        <w:t>EUB-hoz</w:t>
      </w:r>
      <w:proofErr w:type="spellEnd"/>
      <w:r w:rsidRPr="00A96B08">
        <w:rPr>
          <w:rFonts w:ascii="Times New Roman" w:hAnsi="Times New Roman"/>
        </w:rPr>
        <w:t>.</w:t>
      </w:r>
    </w:p>
  </w:footnote>
  <w:footnote w:id="6">
    <w:p w:rsidR="00C2757C" w:rsidRPr="00A96B08" w:rsidRDefault="00C2757C" w:rsidP="00B62BCA">
      <w:pPr>
        <w:pStyle w:val="Lbjegyzetszveg"/>
        <w:jc w:val="both"/>
        <w:rPr>
          <w:rFonts w:ascii="Times New Roman" w:hAnsi="Times New Roman"/>
        </w:rPr>
      </w:pPr>
      <w:r w:rsidRPr="00A96B08">
        <w:rPr>
          <w:rStyle w:val="Lbjegyzet-hivatkozs"/>
          <w:rFonts w:ascii="Times New Roman" w:hAnsi="Times New Roman"/>
        </w:rPr>
        <w:footnoteRef/>
      </w:r>
      <w:r w:rsidRPr="00A96B08">
        <w:rPr>
          <w:rFonts w:ascii="Times New Roman" w:hAnsi="Times New Roman"/>
        </w:rPr>
        <w:t xml:space="preserve"> </w:t>
      </w:r>
      <w:proofErr w:type="spellStart"/>
      <w:r w:rsidRPr="00A96B08">
        <w:rPr>
          <w:rFonts w:ascii="Times New Roman" w:hAnsi="Times New Roman"/>
        </w:rPr>
        <w:t>Maciej</w:t>
      </w:r>
      <w:proofErr w:type="spellEnd"/>
      <w:r w:rsidRPr="00A96B08">
        <w:rPr>
          <w:rFonts w:ascii="Times New Roman" w:hAnsi="Times New Roman"/>
        </w:rPr>
        <w:t xml:space="preserve"> </w:t>
      </w:r>
      <w:proofErr w:type="spellStart"/>
      <w:r w:rsidRPr="00A96B08">
        <w:rPr>
          <w:rFonts w:ascii="Times New Roman" w:hAnsi="Times New Roman"/>
        </w:rPr>
        <w:t>Szpunar</w:t>
      </w:r>
      <w:proofErr w:type="spellEnd"/>
      <w:r w:rsidRPr="00A96B08">
        <w:rPr>
          <w:rFonts w:ascii="Times New Roman" w:hAnsi="Times New Roman"/>
        </w:rPr>
        <w:t xml:space="preserve"> főtanácsnok. </w:t>
      </w:r>
    </w:p>
  </w:footnote>
  <w:footnote w:id="7">
    <w:p w:rsidR="00C2757C" w:rsidRPr="00A96B08" w:rsidRDefault="00C2757C" w:rsidP="000F66EF">
      <w:pPr>
        <w:pStyle w:val="Lbjegyzetszveg"/>
        <w:jc w:val="both"/>
        <w:rPr>
          <w:rFonts w:ascii="Times New Roman" w:hAnsi="Times New Roman"/>
        </w:rPr>
      </w:pPr>
      <w:r w:rsidRPr="00A96B08">
        <w:rPr>
          <w:rStyle w:val="Lbjegyzet-hivatkozs"/>
          <w:rFonts w:ascii="Times New Roman" w:hAnsi="Times New Roman"/>
        </w:rPr>
        <w:footnoteRef/>
      </w:r>
      <w:r w:rsidRPr="00A96B0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Pr="00A96B08">
        <w:rPr>
          <w:rFonts w:ascii="Times New Roman" w:hAnsi="Times New Roman"/>
        </w:rPr>
        <w:t>98/34 irányelv 1. cikkének 2. pontja és Elektronikus kereskedelemről szóló irányelv 2. cikk a) pontja értelmében információs társadalommal összefüggő szolgáltatás: az információs társadalom bármely szolgáltatása, azaz bármely, általában térítés ellenében, távolról, elektronikus úton és a szolgáltatást igénybe vevő egyéni kérelmére nyújtott szolgáltatás.</w:t>
      </w:r>
    </w:p>
  </w:footnote>
  <w:footnote w:id="8">
    <w:p w:rsidR="00C2757C" w:rsidRPr="00A96B08" w:rsidRDefault="00C2757C" w:rsidP="000F66EF">
      <w:pPr>
        <w:pStyle w:val="Lbjegyzetszveg"/>
        <w:jc w:val="both"/>
        <w:rPr>
          <w:rFonts w:ascii="Times New Roman" w:hAnsi="Times New Roman"/>
        </w:rPr>
      </w:pPr>
      <w:r w:rsidRPr="00A96B08">
        <w:rPr>
          <w:rStyle w:val="Lbjegyzet-hivatkozs"/>
          <w:rFonts w:ascii="Times New Roman" w:hAnsi="Times New Roman"/>
        </w:rPr>
        <w:footnoteRef/>
      </w:r>
      <w:r w:rsidRPr="00A96B08">
        <w:rPr>
          <w:rFonts w:ascii="Times New Roman" w:hAnsi="Times New Roman"/>
        </w:rPr>
        <w:t xml:space="preserve"> EUMSZ 58. cikk (1) bekezdése és a szolgáltatási irányelv 2. cikke (2) bekezdésének d) pontja.</w:t>
      </w:r>
    </w:p>
  </w:footnote>
  <w:footnote w:id="9">
    <w:p w:rsidR="00C2757C" w:rsidRPr="00A96B08" w:rsidRDefault="00C2757C" w:rsidP="000F66EF">
      <w:pPr>
        <w:pStyle w:val="Lbjegyzetszveg"/>
        <w:jc w:val="both"/>
        <w:rPr>
          <w:rFonts w:ascii="Times New Roman" w:hAnsi="Times New Roman"/>
        </w:rPr>
      </w:pPr>
      <w:r w:rsidRPr="00A96B08">
        <w:rPr>
          <w:rStyle w:val="Lbjegyzet-hivatkozs"/>
          <w:rFonts w:ascii="Times New Roman" w:hAnsi="Times New Roman"/>
        </w:rPr>
        <w:footnoteRef/>
      </w:r>
      <w:r w:rsidRPr="00A96B08">
        <w:rPr>
          <w:rFonts w:ascii="Times New Roman" w:hAnsi="Times New Roman"/>
        </w:rPr>
        <w:t xml:space="preserve"> Indítvány 28. pont és 71. pont.</w:t>
      </w:r>
    </w:p>
  </w:footnote>
  <w:footnote w:id="10">
    <w:p w:rsidR="00C2757C" w:rsidRPr="00A96B08" w:rsidRDefault="00C2757C" w:rsidP="000F66EF">
      <w:pPr>
        <w:pStyle w:val="Lbjegyzetszveg"/>
        <w:jc w:val="both"/>
        <w:rPr>
          <w:rFonts w:ascii="Times New Roman" w:hAnsi="Times New Roman"/>
        </w:rPr>
      </w:pPr>
      <w:r w:rsidRPr="00A96B08">
        <w:rPr>
          <w:rStyle w:val="Lbjegyzet-hivatkozs"/>
          <w:rFonts w:ascii="Times New Roman" w:hAnsi="Times New Roman"/>
        </w:rPr>
        <w:footnoteRef/>
      </w:r>
      <w:r w:rsidRPr="00A96B08">
        <w:rPr>
          <w:rFonts w:ascii="Times New Roman" w:hAnsi="Times New Roman"/>
        </w:rPr>
        <w:t xml:space="preserve"> Indítvány 64. pont.</w:t>
      </w:r>
    </w:p>
  </w:footnote>
  <w:footnote w:id="11">
    <w:p w:rsidR="00C2757C" w:rsidRPr="00A96B08" w:rsidRDefault="00C2757C" w:rsidP="000F66EF">
      <w:pPr>
        <w:pStyle w:val="Lbjegyzetszveg"/>
        <w:jc w:val="both"/>
        <w:rPr>
          <w:rFonts w:ascii="Times New Roman" w:hAnsi="Times New Roman"/>
        </w:rPr>
      </w:pPr>
      <w:r w:rsidRPr="00A96B08">
        <w:rPr>
          <w:rStyle w:val="Lbjegyzet-hivatkozs"/>
          <w:rFonts w:ascii="Times New Roman" w:hAnsi="Times New Roman"/>
        </w:rPr>
        <w:footnoteRef/>
      </w:r>
      <w:r w:rsidRPr="00A96B08">
        <w:rPr>
          <w:rFonts w:ascii="Times New Roman" w:hAnsi="Times New Roman"/>
        </w:rPr>
        <w:t xml:space="preserve"> Indítvány 65. pont, 71. pont és 72. pont.</w:t>
      </w:r>
    </w:p>
  </w:footnote>
  <w:footnote w:id="12">
    <w:p w:rsidR="00C2757C" w:rsidRPr="00A96B08" w:rsidRDefault="00C2757C" w:rsidP="000F66EF">
      <w:pPr>
        <w:pStyle w:val="Lbjegyzetszveg"/>
        <w:jc w:val="both"/>
        <w:rPr>
          <w:rFonts w:ascii="Times New Roman" w:hAnsi="Times New Roman"/>
        </w:rPr>
      </w:pPr>
      <w:r w:rsidRPr="00A96B08">
        <w:rPr>
          <w:rStyle w:val="Lbjegyzet-hivatkozs"/>
          <w:rFonts w:ascii="Times New Roman" w:hAnsi="Times New Roman"/>
        </w:rPr>
        <w:footnoteRef/>
      </w:r>
      <w:r w:rsidRPr="00A96B08">
        <w:rPr>
          <w:rFonts w:ascii="Times New Roman" w:hAnsi="Times New Roman"/>
        </w:rPr>
        <w:t xml:space="preserve"> Indítvány 61. pont, 63. és 64. pont.</w:t>
      </w:r>
    </w:p>
  </w:footnote>
  <w:footnote w:id="13">
    <w:p w:rsidR="00C2757C" w:rsidRPr="00A96B08" w:rsidRDefault="00C2757C" w:rsidP="000F66EF">
      <w:pPr>
        <w:pStyle w:val="Lbjegyzetszveg"/>
        <w:jc w:val="both"/>
        <w:rPr>
          <w:rFonts w:ascii="Times New Roman" w:hAnsi="Times New Roman"/>
        </w:rPr>
      </w:pPr>
      <w:r w:rsidRPr="00A96B08">
        <w:rPr>
          <w:rStyle w:val="Lbjegyzet-hivatkozs"/>
          <w:rFonts w:ascii="Times New Roman" w:hAnsi="Times New Roman"/>
        </w:rPr>
        <w:footnoteRef/>
      </w:r>
      <w:r w:rsidRPr="00A96B08">
        <w:rPr>
          <w:rFonts w:ascii="Times New Roman" w:hAnsi="Times New Roman"/>
        </w:rPr>
        <w:t xml:space="preserve"> Indítvány 69.és 70. pont.</w:t>
      </w:r>
    </w:p>
  </w:footnote>
  <w:footnote w:id="14">
    <w:p w:rsidR="00C2757C" w:rsidRPr="00A96B08" w:rsidRDefault="00C2757C" w:rsidP="000F66EF">
      <w:pPr>
        <w:pStyle w:val="Lbjegyzetszveg"/>
        <w:jc w:val="both"/>
        <w:rPr>
          <w:rFonts w:ascii="Times New Roman" w:hAnsi="Times New Roman"/>
        </w:rPr>
      </w:pPr>
      <w:r w:rsidRPr="00A96B08">
        <w:rPr>
          <w:rStyle w:val="Lbjegyzet-hivatkozs"/>
          <w:rFonts w:ascii="Times New Roman" w:hAnsi="Times New Roman"/>
        </w:rPr>
        <w:footnoteRef/>
      </w:r>
      <w:r w:rsidRPr="00A96B08">
        <w:rPr>
          <w:rFonts w:ascii="Times New Roman" w:hAnsi="Times New Roman"/>
        </w:rPr>
        <w:t xml:space="preserve"> Indítvány 74. – 90. pont (</w:t>
      </w:r>
      <w:r w:rsidRPr="00A96B08">
        <w:rPr>
          <w:rFonts w:ascii="Times New Roman" w:hAnsi="Times New Roman"/>
          <w:i/>
        </w:rPr>
        <w:t>Záró megjegyzések</w:t>
      </w:r>
      <w:r w:rsidRPr="00A96B08">
        <w:rPr>
          <w:rFonts w:ascii="Times New Roman" w:hAnsi="Times New Roman"/>
        </w:rPr>
        <w:t>)</w:t>
      </w:r>
    </w:p>
  </w:footnote>
  <w:footnote w:id="15">
    <w:p w:rsidR="00C2757C" w:rsidRPr="00A96B08" w:rsidRDefault="00C2757C" w:rsidP="000F66EF">
      <w:pPr>
        <w:pStyle w:val="Lbjegyzetszveg"/>
        <w:jc w:val="both"/>
        <w:rPr>
          <w:rFonts w:ascii="Times New Roman" w:hAnsi="Times New Roman"/>
        </w:rPr>
      </w:pPr>
      <w:r w:rsidRPr="00A96B08">
        <w:rPr>
          <w:rStyle w:val="Lbjegyzet-hivatkozs"/>
          <w:rFonts w:ascii="Times New Roman" w:hAnsi="Times New Roman"/>
        </w:rPr>
        <w:footnoteRef/>
      </w:r>
      <w:r w:rsidRPr="00A96B08">
        <w:rPr>
          <w:rFonts w:ascii="Times New Roman" w:hAnsi="Times New Roman"/>
        </w:rPr>
        <w:t xml:space="preserve"> Indítvány 90. pont.</w:t>
      </w:r>
    </w:p>
  </w:footnote>
  <w:footnote w:id="16">
    <w:p w:rsidR="00C2757C" w:rsidRPr="00A96B08" w:rsidRDefault="00C2757C" w:rsidP="000F66EF">
      <w:pPr>
        <w:pStyle w:val="Lbjegyzetszveg"/>
        <w:jc w:val="both"/>
        <w:rPr>
          <w:rFonts w:ascii="Times New Roman" w:hAnsi="Times New Roman"/>
        </w:rPr>
      </w:pPr>
      <w:r w:rsidRPr="00A96B08">
        <w:rPr>
          <w:rStyle w:val="Lbjegyzet-hivatkozs"/>
          <w:rFonts w:ascii="Times New Roman" w:hAnsi="Times New Roman"/>
        </w:rPr>
        <w:footnoteRef/>
      </w:r>
      <w:r w:rsidRPr="00A96B08">
        <w:rPr>
          <w:rFonts w:ascii="Times New Roman" w:hAnsi="Times New Roman"/>
        </w:rPr>
        <w:t xml:space="preserve"> Indítvány 91 – 93 pont.</w:t>
      </w:r>
    </w:p>
  </w:footnote>
  <w:footnote w:id="17">
    <w:p w:rsidR="00C2757C" w:rsidRPr="00A96B08" w:rsidRDefault="00C2757C" w:rsidP="005009FB">
      <w:pPr>
        <w:pStyle w:val="Lbjegyzetszveg"/>
        <w:jc w:val="both"/>
        <w:rPr>
          <w:rFonts w:ascii="Times New Roman" w:hAnsi="Times New Roman"/>
        </w:rPr>
      </w:pPr>
      <w:r w:rsidRPr="00A96B08">
        <w:rPr>
          <w:rStyle w:val="Lbjegyzet-hivatkozs"/>
          <w:rFonts w:ascii="Times New Roman" w:hAnsi="Times New Roman"/>
        </w:rPr>
        <w:footnoteRef/>
      </w:r>
      <w:r w:rsidRPr="00A96B08">
        <w:rPr>
          <w:rFonts w:ascii="Times New Roman" w:hAnsi="Times New Roman"/>
        </w:rPr>
        <w:t xml:space="preserve"> Indítvány 19. pont.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07705"/>
    <w:multiLevelType w:val="hybridMultilevel"/>
    <w:tmpl w:val="DC564FD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5D"/>
    <w:rsid w:val="000067BB"/>
    <w:rsid w:val="00013963"/>
    <w:rsid w:val="000163CF"/>
    <w:rsid w:val="00036299"/>
    <w:rsid w:val="00087A4E"/>
    <w:rsid w:val="000A0768"/>
    <w:rsid w:val="000D4A30"/>
    <w:rsid w:val="000E1C27"/>
    <w:rsid w:val="000F502B"/>
    <w:rsid w:val="000F66EF"/>
    <w:rsid w:val="00112AC1"/>
    <w:rsid w:val="0011427C"/>
    <w:rsid w:val="00116C0D"/>
    <w:rsid w:val="001523F0"/>
    <w:rsid w:val="001633B6"/>
    <w:rsid w:val="00175193"/>
    <w:rsid w:val="0018339B"/>
    <w:rsid w:val="001875ED"/>
    <w:rsid w:val="001B22EC"/>
    <w:rsid w:val="001D1BBA"/>
    <w:rsid w:val="001F6278"/>
    <w:rsid w:val="002039D7"/>
    <w:rsid w:val="00204A8C"/>
    <w:rsid w:val="00216E73"/>
    <w:rsid w:val="00234F24"/>
    <w:rsid w:val="00263453"/>
    <w:rsid w:val="00273EE9"/>
    <w:rsid w:val="002C59C7"/>
    <w:rsid w:val="002C5C09"/>
    <w:rsid w:val="00313B95"/>
    <w:rsid w:val="00351F8C"/>
    <w:rsid w:val="0039782B"/>
    <w:rsid w:val="003A5145"/>
    <w:rsid w:val="003C2BDD"/>
    <w:rsid w:val="003D5154"/>
    <w:rsid w:val="00432A1F"/>
    <w:rsid w:val="00461ADC"/>
    <w:rsid w:val="0049671C"/>
    <w:rsid w:val="004E14DD"/>
    <w:rsid w:val="004E2B76"/>
    <w:rsid w:val="005009FB"/>
    <w:rsid w:val="00500D2C"/>
    <w:rsid w:val="005024D0"/>
    <w:rsid w:val="005C4808"/>
    <w:rsid w:val="0061179C"/>
    <w:rsid w:val="00637AB8"/>
    <w:rsid w:val="00674D4A"/>
    <w:rsid w:val="006935D1"/>
    <w:rsid w:val="006B5BEF"/>
    <w:rsid w:val="006C42EB"/>
    <w:rsid w:val="006F522C"/>
    <w:rsid w:val="00743660"/>
    <w:rsid w:val="00752403"/>
    <w:rsid w:val="007537E8"/>
    <w:rsid w:val="007A3E58"/>
    <w:rsid w:val="007C2F02"/>
    <w:rsid w:val="00860B16"/>
    <w:rsid w:val="00865DCC"/>
    <w:rsid w:val="00882CE2"/>
    <w:rsid w:val="008A299A"/>
    <w:rsid w:val="008D6FC7"/>
    <w:rsid w:val="009246BA"/>
    <w:rsid w:val="00934992"/>
    <w:rsid w:val="00966ABA"/>
    <w:rsid w:val="009A1E57"/>
    <w:rsid w:val="009B799C"/>
    <w:rsid w:val="009F1161"/>
    <w:rsid w:val="009F1433"/>
    <w:rsid w:val="00A02081"/>
    <w:rsid w:val="00A11ED9"/>
    <w:rsid w:val="00A20B23"/>
    <w:rsid w:val="00A42BE4"/>
    <w:rsid w:val="00AA2CAF"/>
    <w:rsid w:val="00AA711C"/>
    <w:rsid w:val="00AD490B"/>
    <w:rsid w:val="00AF5135"/>
    <w:rsid w:val="00B62BCA"/>
    <w:rsid w:val="00BB6513"/>
    <w:rsid w:val="00BF3A7A"/>
    <w:rsid w:val="00C20EE5"/>
    <w:rsid w:val="00C2755E"/>
    <w:rsid w:val="00C2757C"/>
    <w:rsid w:val="00C30AC6"/>
    <w:rsid w:val="00C65E41"/>
    <w:rsid w:val="00C863F2"/>
    <w:rsid w:val="00CB16C9"/>
    <w:rsid w:val="00CC665E"/>
    <w:rsid w:val="00CC7A37"/>
    <w:rsid w:val="00D024B0"/>
    <w:rsid w:val="00D032BA"/>
    <w:rsid w:val="00D170C3"/>
    <w:rsid w:val="00D26441"/>
    <w:rsid w:val="00D41727"/>
    <w:rsid w:val="00D77901"/>
    <w:rsid w:val="00D77B69"/>
    <w:rsid w:val="00D874E8"/>
    <w:rsid w:val="00DA119A"/>
    <w:rsid w:val="00DB5132"/>
    <w:rsid w:val="00EA7CAC"/>
    <w:rsid w:val="00EF429D"/>
    <w:rsid w:val="00EF63A9"/>
    <w:rsid w:val="00F0307F"/>
    <w:rsid w:val="00F20819"/>
    <w:rsid w:val="00F26A97"/>
    <w:rsid w:val="00F620ED"/>
    <w:rsid w:val="00F75F89"/>
    <w:rsid w:val="00F77D84"/>
    <w:rsid w:val="00FA455D"/>
    <w:rsid w:val="00FB36F9"/>
    <w:rsid w:val="00FC7987"/>
    <w:rsid w:val="00FD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4D4A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C7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C7A3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73EE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73EE9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73EE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73EE9"/>
    <w:rPr>
      <w:sz w:val="22"/>
      <w:szCs w:val="22"/>
      <w:lang w:eastAsia="en-US"/>
    </w:rPr>
  </w:style>
  <w:style w:type="paragraph" w:styleId="Nincstrkz">
    <w:name w:val="No Spacing"/>
    <w:link w:val="NincstrkzChar"/>
    <w:uiPriority w:val="1"/>
    <w:qFormat/>
    <w:rsid w:val="008D6FC7"/>
    <w:rPr>
      <w:rFonts w:eastAsia="Times New Roman"/>
      <w:sz w:val="22"/>
      <w:szCs w:val="22"/>
      <w:lang w:eastAsia="en-US"/>
    </w:rPr>
  </w:style>
  <w:style w:type="character" w:customStyle="1" w:styleId="NincstrkzChar">
    <w:name w:val="Nincs térköz Char"/>
    <w:link w:val="Nincstrkz"/>
    <w:uiPriority w:val="1"/>
    <w:rsid w:val="008D6FC7"/>
    <w:rPr>
      <w:rFonts w:eastAsia="Times New Roman"/>
      <w:sz w:val="22"/>
      <w:szCs w:val="22"/>
      <w:lang w:val="hu-HU" w:eastAsia="en-US" w:bidi="ar-SA"/>
    </w:rPr>
  </w:style>
  <w:style w:type="character" w:styleId="Hiperhivatkozs">
    <w:name w:val="Hyperlink"/>
    <w:basedOn w:val="Bekezdsalapbettpusa"/>
    <w:uiPriority w:val="99"/>
    <w:unhideWhenUsed/>
    <w:rsid w:val="00AF5135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F429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429D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EF429D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62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4D4A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C7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C7A3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73EE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73EE9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73EE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73EE9"/>
    <w:rPr>
      <w:sz w:val="22"/>
      <w:szCs w:val="22"/>
      <w:lang w:eastAsia="en-US"/>
    </w:rPr>
  </w:style>
  <w:style w:type="paragraph" w:styleId="Nincstrkz">
    <w:name w:val="No Spacing"/>
    <w:link w:val="NincstrkzChar"/>
    <w:uiPriority w:val="1"/>
    <w:qFormat/>
    <w:rsid w:val="008D6FC7"/>
    <w:rPr>
      <w:rFonts w:eastAsia="Times New Roman"/>
      <w:sz w:val="22"/>
      <w:szCs w:val="22"/>
      <w:lang w:eastAsia="en-US"/>
    </w:rPr>
  </w:style>
  <w:style w:type="character" w:customStyle="1" w:styleId="NincstrkzChar">
    <w:name w:val="Nincs térköz Char"/>
    <w:link w:val="Nincstrkz"/>
    <w:uiPriority w:val="1"/>
    <w:rsid w:val="008D6FC7"/>
    <w:rPr>
      <w:rFonts w:eastAsia="Times New Roman"/>
      <w:sz w:val="22"/>
      <w:szCs w:val="22"/>
      <w:lang w:val="hu-HU" w:eastAsia="en-US" w:bidi="ar-SA"/>
    </w:rPr>
  </w:style>
  <w:style w:type="character" w:styleId="Hiperhivatkozs">
    <w:name w:val="Hyperlink"/>
    <w:basedOn w:val="Bekezdsalapbettpusa"/>
    <w:uiPriority w:val="99"/>
    <w:unhideWhenUsed/>
    <w:rsid w:val="00AF5135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F429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429D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EF429D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62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7D6A-48CE-4B88-88C5-EEB15B63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1967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Roden Gábor dr.</dc:creator>
  <cp:lastModifiedBy>Virányi-Gyermán Erika dr.</cp:lastModifiedBy>
  <cp:revision>3</cp:revision>
  <cp:lastPrinted>2016-10-12T14:11:00Z</cp:lastPrinted>
  <dcterms:created xsi:type="dcterms:W3CDTF">2017-05-16T13:28:00Z</dcterms:created>
  <dcterms:modified xsi:type="dcterms:W3CDTF">2017-05-16T13:32:00Z</dcterms:modified>
</cp:coreProperties>
</file>